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B4DFC">
      <w:pPr>
        <w:spacing w:line="360" w:lineRule="auto"/>
        <w:jc w:val="center"/>
        <w:rPr>
          <w:rFonts w:ascii="宋体" w:hAnsi="宋体" w:eastAsia="宋体" w:cs="Times New Roman"/>
          <w:sz w:val="52"/>
        </w:rPr>
      </w:pPr>
    </w:p>
    <w:p w14:paraId="5D846D27">
      <w:pPr>
        <w:spacing w:line="360" w:lineRule="auto"/>
        <w:jc w:val="center"/>
        <w:rPr>
          <w:rFonts w:ascii="宋体" w:hAnsi="宋体" w:eastAsia="宋体" w:cs="Times New Roman"/>
          <w:sz w:val="40"/>
          <w:szCs w:val="18"/>
        </w:rPr>
      </w:pPr>
      <w:r>
        <w:rPr>
          <w:rFonts w:hint="eastAsia" w:ascii="宋体" w:hAnsi="宋体" w:eastAsia="宋体" w:cs="Times New Roman"/>
          <w:sz w:val="52"/>
        </w:rPr>
        <w:t>中国工程机械工业协会团体标准</w:t>
      </w:r>
    </w:p>
    <w:p w14:paraId="68FE3034">
      <w:pPr>
        <w:spacing w:line="360" w:lineRule="auto"/>
        <w:ind w:left="426" w:leftChars="202" w:right="225" w:rightChars="107" w:hanging="2"/>
        <w:jc w:val="center"/>
        <w:rPr>
          <w:rFonts w:ascii="黑体" w:hAnsi="Times New Roman" w:eastAsia="黑体" w:cs="Times New Roman"/>
          <w:sz w:val="32"/>
          <w:szCs w:val="15"/>
        </w:rPr>
      </w:pPr>
    </w:p>
    <w:p w14:paraId="5C49B0D0">
      <w:pPr>
        <w:spacing w:line="360" w:lineRule="auto"/>
        <w:ind w:left="426" w:leftChars="202" w:right="225" w:rightChars="107" w:hanging="2"/>
        <w:jc w:val="center"/>
        <w:rPr>
          <w:rFonts w:ascii="黑体" w:hAnsi="Times New Roman" w:eastAsia="黑体" w:cs="Times New Roman"/>
          <w:sz w:val="32"/>
          <w:szCs w:val="15"/>
        </w:rPr>
      </w:pPr>
    </w:p>
    <w:p w14:paraId="43BD20B5">
      <w:pPr>
        <w:spacing w:line="360" w:lineRule="auto"/>
        <w:jc w:val="center"/>
        <w:textAlignment w:val="center"/>
        <w:rPr>
          <w:rFonts w:ascii="黑体" w:hAnsi="Times New Roman" w:eastAsia="黑体" w:cs="Times New Roman"/>
          <w:sz w:val="48"/>
          <w:szCs w:val="52"/>
        </w:rPr>
      </w:pPr>
      <w:r>
        <w:rPr>
          <w:rFonts w:hint="eastAsia" w:ascii="黑体" w:hAnsi="黑体" w:eastAsia="黑体" w:cs="黑体"/>
          <w:bCs/>
          <w:sz w:val="48"/>
          <w:szCs w:val="52"/>
        </w:rPr>
        <w:t>高处作业吊篮主要零部件报废条件</w:t>
      </w:r>
    </w:p>
    <w:p w14:paraId="20F19649">
      <w:pPr>
        <w:snapToGrid w:val="0"/>
        <w:jc w:val="center"/>
        <w:rPr>
          <w:rFonts w:hint="eastAsia" w:ascii="黑体" w:hAnsi="黑体" w:eastAsia="黑体" w:cs="黑体"/>
          <w:b w:val="0"/>
          <w:bCs w:val="0"/>
          <w:kern w:val="0"/>
          <w:sz w:val="30"/>
          <w:szCs w:val="30"/>
        </w:rPr>
      </w:pPr>
      <w:r>
        <w:rPr>
          <w:rFonts w:hint="eastAsia" w:ascii="黑体" w:hAnsi="黑体" w:eastAsia="黑体" w:cs="黑体"/>
          <w:b w:val="0"/>
          <w:bCs w:val="0"/>
          <w:kern w:val="0"/>
          <w:sz w:val="30"/>
          <w:szCs w:val="30"/>
        </w:rPr>
        <w:t>Scrapping conditions for main components of</w:t>
      </w:r>
    </w:p>
    <w:p w14:paraId="193CF31C">
      <w:pPr>
        <w:snapToGrid w:val="0"/>
        <w:jc w:val="center"/>
        <w:rPr>
          <w:rFonts w:hint="eastAsia" w:ascii="黑体" w:hAnsi="黑体" w:eastAsia="黑体" w:cs="黑体"/>
          <w:sz w:val="36"/>
        </w:rPr>
      </w:pPr>
      <w:r>
        <w:rPr>
          <w:rFonts w:hint="eastAsia" w:ascii="黑体" w:hAnsi="黑体" w:eastAsia="黑体" w:cs="黑体"/>
          <w:b w:val="0"/>
          <w:bCs w:val="0"/>
          <w:kern w:val="0"/>
          <w:sz w:val="30"/>
          <w:szCs w:val="30"/>
        </w:rPr>
        <w:t xml:space="preserve"> temporarily installed suspended access equipme</w:t>
      </w:r>
      <w:r>
        <w:rPr>
          <w:rFonts w:hint="eastAsia" w:ascii="黑体" w:hAnsi="黑体" w:eastAsia="黑体" w:cs="黑体"/>
          <w:b/>
          <w:bCs/>
          <w:kern w:val="0"/>
          <w:sz w:val="30"/>
          <w:szCs w:val="30"/>
        </w:rPr>
        <w:t xml:space="preserve">nt </w:t>
      </w:r>
    </w:p>
    <w:p w14:paraId="4577AA28">
      <w:pPr>
        <w:spacing w:line="360" w:lineRule="auto"/>
        <w:jc w:val="center"/>
        <w:rPr>
          <w:rFonts w:hint="eastAsia" w:ascii="黑体" w:hAnsi="黑体" w:eastAsia="黑体" w:cs="黑体"/>
          <w:b/>
          <w:sz w:val="36"/>
        </w:rPr>
      </w:pPr>
    </w:p>
    <w:p w14:paraId="25827F7A">
      <w:pPr>
        <w:spacing w:line="360" w:lineRule="auto"/>
        <w:jc w:val="center"/>
        <w:rPr>
          <w:rFonts w:ascii="黑体" w:hAnsi="黑体" w:eastAsia="黑体" w:cs="Times New Roman"/>
          <w:b w:val="0"/>
          <w:bCs/>
          <w:sz w:val="36"/>
        </w:rPr>
      </w:pPr>
      <w:r>
        <w:rPr>
          <w:rFonts w:hint="eastAsia" w:ascii="黑体" w:hAnsi="黑体" w:eastAsia="黑体" w:cs="Times New Roman"/>
          <w:b w:val="0"/>
          <w:bCs/>
          <w:sz w:val="36"/>
        </w:rPr>
        <w:t>（征求意见稿）</w:t>
      </w:r>
    </w:p>
    <w:p w14:paraId="6BD2858C">
      <w:pPr>
        <w:spacing w:line="360" w:lineRule="auto"/>
        <w:jc w:val="center"/>
        <w:rPr>
          <w:rFonts w:ascii="黑体" w:hAnsi="黑体" w:eastAsia="黑体" w:cs="Times New Roman"/>
          <w:b/>
          <w:sz w:val="36"/>
        </w:rPr>
      </w:pPr>
    </w:p>
    <w:p w14:paraId="49E303D3">
      <w:pPr>
        <w:spacing w:line="360" w:lineRule="auto"/>
        <w:jc w:val="center"/>
        <w:rPr>
          <w:rFonts w:ascii="黑体" w:hAnsi="黑体" w:eastAsia="黑体" w:cs="Times New Roman"/>
          <w:sz w:val="44"/>
          <w:szCs w:val="24"/>
        </w:rPr>
      </w:pPr>
      <w:r>
        <w:rPr>
          <w:rFonts w:hint="eastAsia" w:ascii="黑体" w:hAnsi="黑体" w:eastAsia="黑体" w:cs="Times New Roman"/>
          <w:sz w:val="44"/>
          <w:szCs w:val="24"/>
        </w:rPr>
        <w:t>编制说明</w:t>
      </w:r>
    </w:p>
    <w:p w14:paraId="10BBEAB0">
      <w:pPr>
        <w:spacing w:line="360" w:lineRule="auto"/>
        <w:jc w:val="center"/>
        <w:rPr>
          <w:rFonts w:ascii="宋体" w:hAnsi="Calibri" w:eastAsia="宋体" w:cs="Times New Roman"/>
          <w:sz w:val="36"/>
        </w:rPr>
      </w:pPr>
    </w:p>
    <w:p w14:paraId="053C080D">
      <w:pPr>
        <w:spacing w:line="360" w:lineRule="auto"/>
        <w:jc w:val="center"/>
        <w:rPr>
          <w:rFonts w:ascii="宋体" w:hAnsi="Calibri" w:eastAsia="宋体" w:cs="Times New Roman"/>
          <w:sz w:val="36"/>
        </w:rPr>
      </w:pPr>
    </w:p>
    <w:p w14:paraId="511C4A9C">
      <w:pPr>
        <w:spacing w:line="360" w:lineRule="auto"/>
        <w:jc w:val="center"/>
        <w:rPr>
          <w:rFonts w:ascii="宋体" w:hAnsi="Calibri" w:eastAsia="宋体" w:cs="Times New Roman"/>
          <w:sz w:val="36"/>
        </w:rPr>
      </w:pPr>
    </w:p>
    <w:p w14:paraId="5AD948D1">
      <w:pPr>
        <w:spacing w:line="360" w:lineRule="auto"/>
        <w:jc w:val="center"/>
        <w:rPr>
          <w:rFonts w:ascii="宋体" w:hAnsi="Calibri" w:eastAsia="宋体" w:cs="Times New Roman"/>
          <w:sz w:val="36"/>
        </w:rPr>
      </w:pPr>
    </w:p>
    <w:p w14:paraId="747394C6">
      <w:pPr>
        <w:spacing w:line="360" w:lineRule="auto"/>
        <w:jc w:val="center"/>
        <w:rPr>
          <w:rFonts w:ascii="宋体" w:hAnsi="Calibri" w:eastAsia="宋体" w:cs="Times New Roman"/>
          <w:sz w:val="36"/>
        </w:rPr>
      </w:pPr>
    </w:p>
    <w:p w14:paraId="6BD3B039">
      <w:pPr>
        <w:spacing w:line="360" w:lineRule="auto"/>
        <w:jc w:val="center"/>
        <w:rPr>
          <w:rFonts w:ascii="宋体" w:hAnsi="Calibri" w:eastAsia="宋体" w:cs="Times New Roman"/>
          <w:sz w:val="36"/>
        </w:rPr>
      </w:pPr>
    </w:p>
    <w:p w14:paraId="0DC54FFF">
      <w:pPr>
        <w:spacing w:line="360" w:lineRule="auto"/>
        <w:jc w:val="center"/>
        <w:rPr>
          <w:rFonts w:ascii="宋体" w:hAnsi="Calibri" w:eastAsia="宋体" w:cs="Times New Roman"/>
          <w:sz w:val="36"/>
        </w:rPr>
      </w:pPr>
    </w:p>
    <w:p w14:paraId="055904CC">
      <w:pPr>
        <w:spacing w:line="360" w:lineRule="auto"/>
        <w:jc w:val="center"/>
        <w:rPr>
          <w:rFonts w:ascii="宋体" w:hAnsi="宋体" w:eastAsia="宋体" w:cs="Times New Roman"/>
          <w:sz w:val="30"/>
          <w:szCs w:val="24"/>
        </w:rPr>
      </w:pPr>
    </w:p>
    <w:p w14:paraId="0FDFBF81">
      <w:pPr>
        <w:spacing w:line="360" w:lineRule="auto"/>
        <w:jc w:val="center"/>
        <w:rPr>
          <w:rFonts w:ascii="宋体" w:hAnsi="宋体" w:eastAsia="宋体" w:cs="Times New Roman"/>
          <w:sz w:val="30"/>
          <w:szCs w:val="24"/>
        </w:rPr>
      </w:pPr>
    </w:p>
    <w:p w14:paraId="4BEAC7A3">
      <w:pPr>
        <w:spacing w:line="360" w:lineRule="auto"/>
        <w:jc w:val="center"/>
        <w:rPr>
          <w:rFonts w:ascii="宋体" w:hAnsi="宋体" w:eastAsia="宋体" w:cs="Times New Roman"/>
          <w:sz w:val="32"/>
          <w:szCs w:val="21"/>
        </w:rPr>
      </w:pPr>
      <w:r>
        <w:rPr>
          <w:rFonts w:hint="eastAsia" w:ascii="宋体" w:hAnsi="宋体" w:eastAsia="宋体" w:cs="Times New Roman"/>
          <w:sz w:val="32"/>
          <w:szCs w:val="21"/>
        </w:rPr>
        <w:t>标准编制工作组</w:t>
      </w:r>
    </w:p>
    <w:p w14:paraId="7E76AC82">
      <w:pPr>
        <w:spacing w:line="360" w:lineRule="auto"/>
        <w:jc w:val="center"/>
        <w:rPr>
          <w:rFonts w:ascii="黑体" w:hAnsi="Calibri" w:eastAsia="黑体" w:cs="Times New Roman"/>
          <w:w w:val="120"/>
          <w:sz w:val="30"/>
          <w:szCs w:val="24"/>
        </w:rPr>
      </w:pPr>
      <w:r>
        <w:rPr>
          <w:rFonts w:hint="eastAsia" w:ascii="黑体" w:hAnsi="Calibri" w:eastAsia="黑体" w:cs="Times New Roman"/>
          <w:w w:val="120"/>
          <w:sz w:val="30"/>
          <w:szCs w:val="24"/>
        </w:rPr>
        <w:t>2</w:t>
      </w:r>
      <w:r>
        <w:rPr>
          <w:rFonts w:ascii="黑体" w:hAnsi="Calibri" w:eastAsia="黑体" w:cs="Times New Roman"/>
          <w:w w:val="120"/>
          <w:sz w:val="30"/>
          <w:szCs w:val="24"/>
        </w:rPr>
        <w:t>026</w:t>
      </w:r>
      <w:r>
        <w:rPr>
          <w:rFonts w:hint="eastAsia" w:ascii="黑体" w:hAnsi="Calibri" w:eastAsia="黑体" w:cs="Times New Roman"/>
          <w:w w:val="120"/>
          <w:sz w:val="30"/>
          <w:szCs w:val="24"/>
        </w:rPr>
        <w:t>年</w:t>
      </w:r>
      <w:r>
        <w:rPr>
          <w:rFonts w:hint="eastAsia" w:ascii="黑体" w:hAnsi="Calibri" w:eastAsia="黑体" w:cs="Times New Roman"/>
          <w:w w:val="120"/>
          <w:sz w:val="30"/>
          <w:szCs w:val="24"/>
          <w:lang w:val="en-US" w:eastAsia="zh-CN"/>
        </w:rPr>
        <w:t>5</w:t>
      </w:r>
      <w:r>
        <w:rPr>
          <w:rFonts w:hint="eastAsia" w:ascii="黑体" w:hAnsi="Calibri" w:eastAsia="黑体" w:cs="Times New Roman"/>
          <w:w w:val="120"/>
          <w:sz w:val="30"/>
          <w:szCs w:val="24"/>
        </w:rPr>
        <w:t>月</w:t>
      </w:r>
    </w:p>
    <w:p w14:paraId="7DC38E00">
      <w:pPr>
        <w:spacing w:line="360" w:lineRule="auto"/>
        <w:jc w:val="center"/>
        <w:rPr>
          <w:rFonts w:ascii="黑体" w:hAnsi="黑体" w:eastAsia="黑体" w:cs="黑体"/>
          <w:sz w:val="28"/>
          <w:szCs w:val="28"/>
        </w:rPr>
        <w:sectPr>
          <w:pgSz w:w="11906" w:h="16838"/>
          <w:pgMar w:top="1440" w:right="1800" w:bottom="1440" w:left="1800" w:header="851" w:footer="992" w:gutter="0"/>
          <w:cols w:space="425" w:num="1"/>
          <w:docGrid w:type="lines" w:linePitch="312" w:charSpace="0"/>
        </w:sectPr>
      </w:pPr>
    </w:p>
    <w:p w14:paraId="3250E974">
      <w:pPr>
        <w:spacing w:line="348" w:lineRule="auto"/>
        <w:jc w:val="center"/>
        <w:rPr>
          <w:rFonts w:ascii="黑体" w:hAnsi="黑体" w:eastAsia="黑体" w:cs="黑体"/>
          <w:bCs/>
          <w:sz w:val="32"/>
          <w:szCs w:val="36"/>
        </w:rPr>
      </w:pPr>
      <w:r>
        <w:rPr>
          <w:rFonts w:hint="eastAsia" w:ascii="黑体" w:hAnsi="黑体" w:eastAsia="黑体" w:cs="黑体"/>
          <w:bCs/>
          <w:sz w:val="32"/>
          <w:szCs w:val="36"/>
        </w:rPr>
        <w:t>《高处作业吊篮主要零部件报废条件》（征求意见稿）</w:t>
      </w:r>
    </w:p>
    <w:p w14:paraId="1AA3968B">
      <w:pPr>
        <w:spacing w:line="348" w:lineRule="auto"/>
        <w:jc w:val="center"/>
        <w:rPr>
          <w:rFonts w:ascii="黑体" w:hAnsi="黑体" w:eastAsia="黑体" w:cs="黑体"/>
          <w:bCs/>
          <w:sz w:val="32"/>
          <w:szCs w:val="36"/>
        </w:rPr>
      </w:pPr>
      <w:r>
        <w:rPr>
          <w:rFonts w:hint="eastAsia" w:ascii="黑体" w:hAnsi="黑体" w:eastAsia="黑体" w:cs="黑体"/>
          <w:bCs/>
          <w:sz w:val="32"/>
          <w:szCs w:val="36"/>
        </w:rPr>
        <w:t>标准编制说明</w:t>
      </w:r>
    </w:p>
    <w:p w14:paraId="73E7F4B8">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一、工作简况</w:t>
      </w:r>
    </w:p>
    <w:p w14:paraId="746BA474">
      <w:pPr>
        <w:pStyle w:val="8"/>
        <w:numPr>
          <w:ilvl w:val="0"/>
          <w:numId w:val="1"/>
        </w:numPr>
        <w:spacing w:line="348" w:lineRule="auto"/>
        <w:ind w:left="0" w:firstLine="0" w:firstLineChars="0"/>
        <w:rPr>
          <w:rFonts w:ascii="宋体" w:hAnsi="宋体" w:eastAsia="宋体"/>
          <w:b/>
          <w:sz w:val="24"/>
          <w:szCs w:val="24"/>
        </w:rPr>
      </w:pPr>
      <w:r>
        <w:rPr>
          <w:rFonts w:hint="eastAsia" w:ascii="宋体" w:hAnsi="宋体" w:eastAsia="宋体"/>
          <w:b/>
          <w:sz w:val="24"/>
          <w:szCs w:val="24"/>
        </w:rPr>
        <w:t>任务来源</w:t>
      </w:r>
    </w:p>
    <w:p w14:paraId="2C921B4E">
      <w:pPr>
        <w:pStyle w:val="8"/>
        <w:spacing w:line="348" w:lineRule="auto"/>
        <w:ind w:firstLine="480"/>
        <w:rPr>
          <w:rFonts w:ascii="宋体" w:hAnsi="宋体" w:eastAsia="宋体"/>
          <w:sz w:val="24"/>
          <w:szCs w:val="24"/>
        </w:rPr>
      </w:pPr>
      <w:r>
        <w:rPr>
          <w:rFonts w:hint="eastAsia" w:ascii="宋体" w:hAnsi="宋体" w:eastAsia="宋体"/>
          <w:sz w:val="24"/>
          <w:szCs w:val="24"/>
        </w:rPr>
        <w:t>本项目根据中国工程机械工业协会2</w:t>
      </w:r>
      <w:r>
        <w:rPr>
          <w:rFonts w:ascii="宋体" w:hAnsi="宋体" w:eastAsia="宋体"/>
          <w:sz w:val="24"/>
          <w:szCs w:val="24"/>
        </w:rPr>
        <w:t>025</w:t>
      </w:r>
      <w:r>
        <w:rPr>
          <w:rFonts w:hint="eastAsia" w:ascii="宋体" w:hAnsi="宋体" w:eastAsia="宋体"/>
          <w:sz w:val="24"/>
          <w:szCs w:val="24"/>
        </w:rPr>
        <w:t>年7月1</w:t>
      </w:r>
      <w:r>
        <w:rPr>
          <w:rFonts w:ascii="宋体" w:hAnsi="宋体" w:eastAsia="宋体"/>
          <w:sz w:val="24"/>
          <w:szCs w:val="24"/>
        </w:rPr>
        <w:t>6</w:t>
      </w:r>
      <w:r>
        <w:rPr>
          <w:rFonts w:hint="eastAsia" w:ascii="宋体" w:hAnsi="宋体" w:eastAsia="宋体"/>
          <w:sz w:val="24"/>
          <w:szCs w:val="24"/>
        </w:rPr>
        <w:t>日关于批准《移动式升降工作平台判废技术规范》等五项团体标准立项的通知而立项，项目计划编号J</w:t>
      </w:r>
      <w:r>
        <w:rPr>
          <w:rFonts w:ascii="宋体" w:hAnsi="宋体" w:eastAsia="宋体"/>
          <w:sz w:val="24"/>
          <w:szCs w:val="24"/>
        </w:rPr>
        <w:t>H-2025-008</w:t>
      </w:r>
      <w:r>
        <w:rPr>
          <w:rFonts w:hint="eastAsia" w:ascii="宋体" w:hAnsi="宋体" w:eastAsia="宋体"/>
          <w:sz w:val="24"/>
          <w:szCs w:val="24"/>
        </w:rPr>
        <w:t>，标准名称“高处作业吊篮判废技术规范”，技术归口单位为</w:t>
      </w:r>
      <w:r>
        <w:rPr>
          <w:rFonts w:hint="eastAsia" w:ascii="宋体" w:hAnsi="宋体" w:eastAsia="宋体" w:cs="仿宋"/>
          <w:sz w:val="24"/>
          <w:szCs w:val="24"/>
        </w:rPr>
        <w:t>中国工程机械工业协会，</w:t>
      </w:r>
      <w:r>
        <w:rPr>
          <w:rFonts w:hint="eastAsia" w:ascii="宋体" w:hAnsi="宋体" w:eastAsia="宋体"/>
          <w:sz w:val="24"/>
          <w:szCs w:val="24"/>
        </w:rPr>
        <w:t>负责组织单位为</w:t>
      </w:r>
      <w:r>
        <w:rPr>
          <w:rFonts w:hint="eastAsia" w:ascii="宋体" w:hAnsi="宋体" w:eastAsia="宋体" w:cs="仿宋"/>
          <w:sz w:val="24"/>
          <w:szCs w:val="24"/>
        </w:rPr>
        <w:t>中国工程机械工业协会装修与高空作业机械分会</w:t>
      </w:r>
      <w:bookmarkStart w:id="0" w:name="OLE_LINK7"/>
      <w:bookmarkStart w:id="1" w:name="OLE_LINK1"/>
      <w:r>
        <w:rPr>
          <w:rFonts w:hint="eastAsia" w:ascii="宋体" w:hAnsi="宋体" w:eastAsia="宋体" w:cs="仿宋"/>
          <w:sz w:val="24"/>
          <w:szCs w:val="24"/>
        </w:rPr>
        <w:t>，牵头起草单位为无锡瑞吉德机械有限公司、无锡华科机械设备有限公司、雄宇重工集团股份有限公司、中宇博机械制造股份有限公司、南京辛巴智能装备有限公司、无锡市小天鹅建筑机械有限公司、黄骅市昌达起重设备有限公司、上海万润达机电科技发展有限公司、建研机械检验检测（北京）有限公司、北京凯博擦窗机械科技有限公司、上海普英特高层设备股份有限公司、中国工程机械工业协会装修与高空作业机械分会、北京建筑机械化研究院有限公司</w:t>
      </w:r>
      <w:bookmarkEnd w:id="0"/>
      <w:bookmarkEnd w:id="1"/>
      <w:r>
        <w:rPr>
          <w:rFonts w:hint="eastAsia" w:ascii="宋体" w:hAnsi="宋体" w:eastAsia="宋体" w:cs="仿宋"/>
          <w:sz w:val="24"/>
          <w:szCs w:val="24"/>
        </w:rPr>
        <w:t>等，计划应完成日期为2</w:t>
      </w:r>
      <w:r>
        <w:rPr>
          <w:rFonts w:ascii="宋体" w:hAnsi="宋体" w:eastAsia="宋体" w:cs="仿宋"/>
          <w:sz w:val="24"/>
          <w:szCs w:val="24"/>
        </w:rPr>
        <w:t>026</w:t>
      </w:r>
      <w:r>
        <w:rPr>
          <w:rFonts w:hint="eastAsia" w:ascii="宋体" w:hAnsi="宋体" w:eastAsia="宋体" w:cs="仿宋"/>
          <w:sz w:val="24"/>
          <w:szCs w:val="24"/>
        </w:rPr>
        <w:t>年7月。</w:t>
      </w:r>
    </w:p>
    <w:p w14:paraId="115E29F1">
      <w:pPr>
        <w:pStyle w:val="8"/>
        <w:numPr>
          <w:ilvl w:val="0"/>
          <w:numId w:val="1"/>
        </w:numPr>
        <w:spacing w:line="348" w:lineRule="auto"/>
        <w:ind w:left="0" w:firstLine="0" w:firstLineChars="0"/>
        <w:rPr>
          <w:rFonts w:ascii="宋体" w:hAnsi="宋体" w:eastAsia="宋体"/>
          <w:b/>
          <w:sz w:val="24"/>
          <w:szCs w:val="24"/>
        </w:rPr>
      </w:pPr>
      <w:r>
        <w:rPr>
          <w:rFonts w:hint="eastAsia" w:ascii="宋体" w:hAnsi="宋体" w:eastAsia="宋体"/>
          <w:b/>
          <w:sz w:val="24"/>
          <w:szCs w:val="24"/>
        </w:rPr>
        <w:t>主要工作过程</w:t>
      </w:r>
    </w:p>
    <w:p w14:paraId="33C45FE6">
      <w:pPr>
        <w:pStyle w:val="8"/>
        <w:spacing w:line="348" w:lineRule="auto"/>
        <w:ind w:firstLine="443" w:firstLineChars="0"/>
        <w:rPr>
          <w:rFonts w:ascii="宋体" w:hAnsi="宋体" w:eastAsia="宋体"/>
          <w:sz w:val="24"/>
          <w:szCs w:val="24"/>
        </w:rPr>
      </w:pPr>
      <w:r>
        <w:rPr>
          <w:rFonts w:hint="eastAsia" w:ascii="宋体" w:hAnsi="宋体" w:eastAsia="宋体"/>
          <w:b/>
          <w:sz w:val="24"/>
          <w:szCs w:val="24"/>
        </w:rPr>
        <w:t>起草（草案、调研）阶段：</w:t>
      </w:r>
      <w:r>
        <w:rPr>
          <w:rFonts w:hint="eastAsia" w:ascii="宋体" w:hAnsi="宋体" w:eastAsia="宋体"/>
          <w:sz w:val="24"/>
          <w:szCs w:val="24"/>
        </w:rPr>
        <w:t>2</w:t>
      </w:r>
      <w:r>
        <w:rPr>
          <w:rFonts w:ascii="宋体" w:hAnsi="宋体" w:eastAsia="宋体"/>
          <w:sz w:val="24"/>
          <w:szCs w:val="24"/>
        </w:rPr>
        <w:t>025</w:t>
      </w:r>
      <w:r>
        <w:rPr>
          <w:rFonts w:hint="eastAsia" w:ascii="宋体" w:hAnsi="宋体" w:eastAsia="宋体"/>
          <w:sz w:val="24"/>
          <w:szCs w:val="24"/>
        </w:rPr>
        <w:t>年7月1</w:t>
      </w:r>
      <w:r>
        <w:rPr>
          <w:rFonts w:ascii="宋体" w:hAnsi="宋体" w:eastAsia="宋体"/>
          <w:sz w:val="24"/>
          <w:szCs w:val="24"/>
        </w:rPr>
        <w:t>6</w:t>
      </w:r>
      <w:r>
        <w:rPr>
          <w:rFonts w:hint="eastAsia" w:ascii="宋体" w:hAnsi="宋体" w:eastAsia="宋体"/>
          <w:sz w:val="24"/>
          <w:szCs w:val="24"/>
        </w:rPr>
        <w:t>日《高处作业吊篮判废技术规范》标准制订任务下达后，</w:t>
      </w:r>
      <w:bookmarkStart w:id="2" w:name="OLE_LINK17"/>
      <w:bookmarkStart w:id="3" w:name="OLE_LINK16"/>
      <w:r>
        <w:rPr>
          <w:rFonts w:hint="eastAsia" w:ascii="宋体" w:hAnsi="宋体" w:eastAsia="宋体" w:cs="仿宋"/>
          <w:sz w:val="24"/>
          <w:szCs w:val="24"/>
        </w:rPr>
        <w:t>中国工程机械工业协会装修与高空作业机械分会组织</w:t>
      </w:r>
      <w:r>
        <w:rPr>
          <w:rFonts w:hint="eastAsia" w:ascii="宋体" w:hAnsi="宋体" w:eastAsia="宋体"/>
          <w:sz w:val="24"/>
          <w:szCs w:val="24"/>
        </w:rPr>
        <w:t>起草单位</w:t>
      </w:r>
      <w:bookmarkEnd w:id="2"/>
      <w:bookmarkEnd w:id="3"/>
      <w:r>
        <w:rPr>
          <w:rFonts w:hint="eastAsia" w:ascii="宋体" w:hAnsi="宋体" w:eastAsia="宋体"/>
          <w:sz w:val="24"/>
          <w:szCs w:val="24"/>
        </w:rPr>
        <w:t>成立了标准编制工作组，确定了标准编制工作方案，提出了编制工作进度安排，由无锡瑞吉德机械有限公司担任主要编制工作。标准编制工作组收集了国内外有关资料，在行业内对高处作业吊篮的技术水平、应用现状进行了广泛调研。G</w:t>
      </w:r>
      <w:r>
        <w:rPr>
          <w:rFonts w:ascii="宋体" w:hAnsi="宋体" w:eastAsia="宋体"/>
          <w:sz w:val="24"/>
          <w:szCs w:val="24"/>
        </w:rPr>
        <w:t>B/T 19155-2017</w:t>
      </w:r>
      <w:r>
        <w:rPr>
          <w:rFonts w:hint="eastAsia" w:ascii="宋体" w:hAnsi="宋体" w:eastAsia="宋体"/>
          <w:sz w:val="24"/>
          <w:szCs w:val="24"/>
        </w:rPr>
        <w:t>《高处作业吊篮》实施已有</w:t>
      </w:r>
      <w:r>
        <w:rPr>
          <w:rFonts w:ascii="宋体" w:hAnsi="宋体" w:eastAsia="宋体"/>
          <w:sz w:val="24"/>
          <w:szCs w:val="24"/>
        </w:rPr>
        <w:t>8</w:t>
      </w:r>
      <w:r>
        <w:rPr>
          <w:rFonts w:hint="eastAsia" w:ascii="宋体" w:hAnsi="宋体" w:eastAsia="宋体"/>
          <w:sz w:val="24"/>
          <w:szCs w:val="24"/>
        </w:rPr>
        <w:t>年，然而仍有相当数量的老旧吊篮在工地上使用，全国各地在吊篮安拆及使用方面的管控力度差异较大。目前市场上的自用吊篮数量较少，大多数吊篮以租赁形式投入使用，而吊篮在使用过程中的监管、维保不能完全到位。部分提升机因没有安装计时装置，使用多年且无法确定实际运行时长，给维保工作带来不便。部分吊篮带病运行，甚至出现已报废吊篮再次流入市场安装使用的情况，导致吊篮安全事故时有发生。编制工作组根据调研情况和收集的资料，结合实际应用经验，进行了全面地总结和归纳。标准编制工作组按照G</w:t>
      </w:r>
      <w:r>
        <w:rPr>
          <w:rFonts w:ascii="宋体" w:hAnsi="宋体" w:eastAsia="宋体"/>
          <w:sz w:val="24"/>
          <w:szCs w:val="24"/>
        </w:rPr>
        <w:t>B/T 1.1-2020</w:t>
      </w:r>
      <w:r>
        <w:rPr>
          <w:rFonts w:hint="eastAsia" w:ascii="宋体" w:hAnsi="宋体" w:eastAsia="宋体"/>
          <w:sz w:val="24"/>
          <w:szCs w:val="24"/>
        </w:rPr>
        <w:t>《标准化工作导则 第1部分：标准化文件的结构和起草规则》的规定进行起草本标准，于2</w:t>
      </w:r>
      <w:r>
        <w:rPr>
          <w:rFonts w:ascii="宋体" w:hAnsi="宋体" w:eastAsia="宋体"/>
          <w:sz w:val="24"/>
          <w:szCs w:val="24"/>
        </w:rPr>
        <w:t>025</w:t>
      </w:r>
      <w:r>
        <w:rPr>
          <w:rFonts w:hint="eastAsia" w:ascii="宋体" w:hAnsi="宋体" w:eastAsia="宋体"/>
          <w:sz w:val="24"/>
          <w:szCs w:val="24"/>
        </w:rPr>
        <w:t>年9月形成了标准草案稿及其编制说明。</w:t>
      </w:r>
    </w:p>
    <w:p w14:paraId="032FF9B7">
      <w:pPr>
        <w:pStyle w:val="8"/>
        <w:spacing w:line="348" w:lineRule="auto"/>
        <w:ind w:firstLine="443" w:firstLineChars="0"/>
        <w:rPr>
          <w:rFonts w:ascii="宋体" w:hAnsi="宋体" w:eastAsia="宋体"/>
          <w:sz w:val="24"/>
          <w:szCs w:val="24"/>
        </w:rPr>
      </w:pPr>
      <w:r>
        <w:rPr>
          <w:rFonts w:hint="eastAsia" w:ascii="宋体" w:hAnsi="宋体" w:eastAsia="宋体"/>
          <w:b/>
          <w:sz w:val="24"/>
          <w:szCs w:val="24"/>
        </w:rPr>
        <w:t>征求意见阶段：</w:t>
      </w:r>
      <w:r>
        <w:rPr>
          <w:rFonts w:hint="eastAsia" w:ascii="宋体" w:hAnsi="宋体" w:eastAsia="宋体"/>
          <w:sz w:val="24"/>
          <w:szCs w:val="24"/>
        </w:rPr>
        <w:t>2</w:t>
      </w:r>
      <w:r>
        <w:rPr>
          <w:rFonts w:ascii="宋体" w:hAnsi="宋体" w:eastAsia="宋体"/>
          <w:sz w:val="24"/>
          <w:szCs w:val="24"/>
        </w:rPr>
        <w:t>026</w:t>
      </w:r>
      <w:r>
        <w:rPr>
          <w:rFonts w:hint="eastAsia" w:ascii="宋体" w:hAnsi="宋体" w:eastAsia="宋体"/>
          <w:sz w:val="24"/>
          <w:szCs w:val="24"/>
        </w:rPr>
        <w:t>年</w:t>
      </w:r>
      <w:r>
        <w:rPr>
          <w:rFonts w:ascii="宋体" w:hAnsi="宋体" w:eastAsia="宋体"/>
          <w:sz w:val="24"/>
          <w:szCs w:val="24"/>
        </w:rPr>
        <w:t>5</w:t>
      </w:r>
      <w:r>
        <w:rPr>
          <w:rFonts w:hint="eastAsia" w:ascii="宋体" w:hAnsi="宋体" w:eastAsia="宋体"/>
          <w:sz w:val="24"/>
          <w:szCs w:val="24"/>
        </w:rPr>
        <w:t>月标准编制工作组完成了《高处作业吊篮主要零部件报废条件》征求意见稿。</w:t>
      </w:r>
    </w:p>
    <w:p w14:paraId="391C2951">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二、标准编制原则和主要内容</w:t>
      </w:r>
    </w:p>
    <w:p w14:paraId="67600F78">
      <w:pPr>
        <w:pStyle w:val="8"/>
        <w:numPr>
          <w:ilvl w:val="0"/>
          <w:numId w:val="2"/>
        </w:numPr>
        <w:spacing w:line="348" w:lineRule="auto"/>
        <w:ind w:left="0" w:firstLine="0" w:firstLineChars="0"/>
        <w:rPr>
          <w:rFonts w:ascii="宋体" w:hAnsi="宋体" w:eastAsia="宋体"/>
          <w:b/>
          <w:sz w:val="24"/>
          <w:szCs w:val="24"/>
        </w:rPr>
      </w:pPr>
      <w:r>
        <w:rPr>
          <w:rFonts w:hint="eastAsia" w:ascii="宋体" w:hAnsi="宋体" w:eastAsia="宋体"/>
          <w:b/>
          <w:sz w:val="24"/>
          <w:szCs w:val="24"/>
        </w:rPr>
        <w:t>标准编制原则</w:t>
      </w:r>
    </w:p>
    <w:p w14:paraId="5801E21E">
      <w:pPr>
        <w:spacing w:line="348"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bookmarkStart w:id="4" w:name="OLE_LINK8"/>
      <w:bookmarkStart w:id="5" w:name="OLE_LINK9"/>
      <w:r>
        <w:rPr>
          <w:rFonts w:ascii="宋体" w:hAnsi="宋体" w:eastAsia="宋体"/>
          <w:sz w:val="24"/>
          <w:szCs w:val="24"/>
        </w:rPr>
        <w:t xml:space="preserve"> </w:t>
      </w:r>
      <w:bookmarkEnd w:id="4"/>
      <w:bookmarkEnd w:id="5"/>
      <w:r>
        <w:rPr>
          <w:rFonts w:hint="eastAsia" w:ascii="宋体" w:hAnsi="宋体" w:eastAsia="宋体"/>
          <w:sz w:val="24"/>
          <w:szCs w:val="24"/>
        </w:rPr>
        <w:t>在编制过程中，本着以下原则对标准进行了起草：</w:t>
      </w:r>
    </w:p>
    <w:p w14:paraId="5B4C73A3">
      <w:pPr>
        <w:spacing w:line="348" w:lineRule="auto"/>
        <w:ind w:firstLine="480"/>
        <w:rPr>
          <w:rFonts w:ascii="宋体" w:hAnsi="宋体" w:eastAsia="宋体"/>
          <w:sz w:val="24"/>
          <w:szCs w:val="24"/>
        </w:rPr>
      </w:pPr>
      <w:r>
        <w:rPr>
          <w:rFonts w:hint="eastAsia" w:ascii="宋体" w:hAnsi="宋体" w:eastAsia="宋体"/>
          <w:sz w:val="24"/>
          <w:szCs w:val="24"/>
        </w:rPr>
        <w:t>——按照</w:t>
      </w:r>
      <w:r>
        <w:rPr>
          <w:rFonts w:ascii="宋体" w:hAnsi="宋体" w:eastAsia="宋体"/>
          <w:sz w:val="24"/>
          <w:szCs w:val="24"/>
        </w:rPr>
        <w:t>GB/T 1.1-2020《标准化工作导则 第1部分：标准化文件的结构和起草规则》给出的规则进行</w:t>
      </w:r>
      <w:r>
        <w:rPr>
          <w:rFonts w:hint="eastAsia" w:ascii="宋体" w:hAnsi="宋体" w:eastAsia="宋体"/>
          <w:sz w:val="24"/>
          <w:szCs w:val="24"/>
        </w:rPr>
        <w:t>编制</w:t>
      </w:r>
      <w:r>
        <w:rPr>
          <w:rFonts w:ascii="宋体" w:hAnsi="宋体" w:eastAsia="宋体"/>
          <w:sz w:val="24"/>
          <w:szCs w:val="24"/>
        </w:rPr>
        <w:t>。标准</w:t>
      </w:r>
      <w:r>
        <w:rPr>
          <w:rFonts w:hint="eastAsia" w:ascii="宋体" w:hAnsi="宋体" w:eastAsia="宋体"/>
          <w:sz w:val="24"/>
          <w:szCs w:val="24"/>
        </w:rPr>
        <w:t>编制</w:t>
      </w:r>
      <w:r>
        <w:rPr>
          <w:rFonts w:ascii="宋体" w:hAnsi="宋体" w:eastAsia="宋体"/>
          <w:sz w:val="24"/>
          <w:szCs w:val="24"/>
        </w:rPr>
        <w:t>工作遵循“面向市场、服务产业、自主制定、适时推出”的原则，标准</w:t>
      </w:r>
      <w:r>
        <w:rPr>
          <w:rFonts w:hint="eastAsia" w:ascii="宋体" w:hAnsi="宋体" w:eastAsia="宋体"/>
          <w:sz w:val="24"/>
          <w:szCs w:val="24"/>
        </w:rPr>
        <w:t>制定</w:t>
      </w:r>
      <w:r>
        <w:rPr>
          <w:rFonts w:ascii="宋体" w:hAnsi="宋体" w:eastAsia="宋体"/>
          <w:sz w:val="24"/>
          <w:szCs w:val="24"/>
        </w:rPr>
        <w:t>与</w:t>
      </w:r>
      <w:r>
        <w:rPr>
          <w:rFonts w:hint="eastAsia" w:ascii="宋体" w:hAnsi="宋体" w:eastAsia="宋体"/>
          <w:sz w:val="24"/>
          <w:szCs w:val="24"/>
        </w:rPr>
        <w:t>企业</w:t>
      </w:r>
      <w:r>
        <w:rPr>
          <w:rFonts w:ascii="宋体" w:hAnsi="宋体" w:eastAsia="宋体"/>
          <w:sz w:val="24"/>
          <w:szCs w:val="24"/>
        </w:rPr>
        <w:t>推进、应用推广相结合，</w:t>
      </w:r>
      <w:r>
        <w:rPr>
          <w:rFonts w:hint="eastAsia" w:ascii="宋体" w:hAnsi="宋体" w:eastAsia="宋体"/>
          <w:sz w:val="24"/>
          <w:szCs w:val="24"/>
        </w:rPr>
        <w:t>合理地确定标准的适用范围。</w:t>
      </w:r>
      <w:r>
        <w:rPr>
          <w:rFonts w:ascii="宋体" w:hAnsi="宋体" w:eastAsia="宋体"/>
          <w:sz w:val="24"/>
          <w:szCs w:val="24"/>
        </w:rPr>
        <w:t>在确定本标准主要技术性能指标时，综合考虑</w:t>
      </w:r>
      <w:r>
        <w:rPr>
          <w:rFonts w:hint="eastAsia" w:ascii="宋体" w:hAnsi="宋体" w:eastAsia="宋体"/>
          <w:sz w:val="24"/>
          <w:szCs w:val="24"/>
        </w:rPr>
        <w:t>吊篮</w:t>
      </w:r>
      <w:r>
        <w:rPr>
          <w:rFonts w:ascii="宋体" w:hAnsi="宋体" w:eastAsia="宋体"/>
          <w:sz w:val="24"/>
          <w:szCs w:val="24"/>
        </w:rPr>
        <w:t>生产企业</w:t>
      </w:r>
      <w:r>
        <w:rPr>
          <w:rFonts w:hint="eastAsia" w:ascii="宋体" w:hAnsi="宋体" w:eastAsia="宋体"/>
          <w:sz w:val="24"/>
          <w:szCs w:val="24"/>
        </w:rPr>
        <w:t>、租赁企业</w:t>
      </w:r>
      <w:r>
        <w:rPr>
          <w:rFonts w:ascii="宋体" w:hAnsi="宋体" w:eastAsia="宋体"/>
          <w:sz w:val="24"/>
          <w:szCs w:val="24"/>
        </w:rPr>
        <w:t>的能力和用户的利益，</w:t>
      </w:r>
      <w:r>
        <w:rPr>
          <w:rFonts w:hint="eastAsia" w:ascii="宋体" w:hAnsi="宋体" w:eastAsia="宋体"/>
          <w:sz w:val="24"/>
          <w:szCs w:val="24"/>
        </w:rPr>
        <w:t>技术指标尽量参数化，</w:t>
      </w:r>
      <w:r>
        <w:rPr>
          <w:rFonts w:ascii="宋体" w:hAnsi="宋体" w:eastAsia="宋体"/>
          <w:sz w:val="24"/>
          <w:szCs w:val="24"/>
        </w:rPr>
        <w:t>寻求最大的经济、社会效益，充分体现了标准在技术上的先进性和经济上的合理性。</w:t>
      </w:r>
    </w:p>
    <w:p w14:paraId="2319B554">
      <w:pPr>
        <w:spacing w:line="348" w:lineRule="auto"/>
        <w:ind w:firstLine="480"/>
        <w:rPr>
          <w:rFonts w:ascii="宋体" w:hAnsi="宋体" w:eastAsia="宋体"/>
          <w:sz w:val="24"/>
          <w:szCs w:val="24"/>
        </w:rPr>
      </w:pPr>
      <w:r>
        <w:rPr>
          <w:rFonts w:hint="eastAsia" w:ascii="宋体" w:hAnsi="宋体" w:eastAsia="宋体"/>
          <w:sz w:val="24"/>
          <w:szCs w:val="24"/>
        </w:rPr>
        <w:t>——广泛征求相关吊篮生产企业、吊篮租赁企业、监督检验机构以及用户等单位的意见和建议，在协商一致的基础上，结合我国多年来吊篮应用的生产实践经验以及理论研究，本着科学、严谨的态度修订标准。在标准内容表达科学、准确的同时，力求语言简练，通俗易懂。</w:t>
      </w:r>
    </w:p>
    <w:p w14:paraId="119D2859">
      <w:pPr>
        <w:pStyle w:val="8"/>
        <w:numPr>
          <w:ilvl w:val="0"/>
          <w:numId w:val="2"/>
        </w:numPr>
        <w:spacing w:line="348" w:lineRule="auto"/>
        <w:ind w:left="0" w:firstLine="0" w:firstLineChars="0"/>
        <w:rPr>
          <w:rFonts w:ascii="宋体" w:hAnsi="宋体" w:eastAsia="宋体"/>
          <w:b/>
          <w:sz w:val="24"/>
          <w:szCs w:val="24"/>
        </w:rPr>
      </w:pPr>
      <w:r>
        <w:rPr>
          <w:rFonts w:hint="eastAsia" w:ascii="宋体" w:hAnsi="宋体" w:eastAsia="宋体"/>
          <w:b/>
          <w:sz w:val="24"/>
          <w:szCs w:val="24"/>
        </w:rPr>
        <w:t>标准的主要内容</w:t>
      </w:r>
    </w:p>
    <w:p w14:paraId="67503553">
      <w:pPr>
        <w:pStyle w:val="8"/>
        <w:widowControl/>
        <w:numPr>
          <w:ilvl w:val="0"/>
          <w:numId w:val="3"/>
        </w:numPr>
        <w:adjustRightInd w:val="0"/>
        <w:snapToGrid w:val="0"/>
        <w:spacing w:line="348" w:lineRule="auto"/>
        <w:ind w:left="745" w:leftChars="202" w:hanging="321" w:hangingChars="134"/>
        <w:jc w:val="left"/>
        <w:rPr>
          <w:rFonts w:ascii="宋体" w:hAnsi="宋体" w:eastAsia="宋体"/>
          <w:kern w:val="0"/>
          <w:sz w:val="24"/>
          <w:szCs w:val="24"/>
        </w:rPr>
      </w:pPr>
      <w:r>
        <w:rPr>
          <w:rFonts w:hint="eastAsia" w:ascii="宋体" w:hAnsi="宋体" w:eastAsia="宋体"/>
          <w:kern w:val="0"/>
          <w:sz w:val="24"/>
          <w:szCs w:val="24"/>
        </w:rPr>
        <w:t>范围：</w:t>
      </w:r>
      <w:bookmarkStart w:id="6" w:name="OLE_LINK15"/>
      <w:bookmarkStart w:id="7" w:name="OLE_LINK14"/>
      <w:r>
        <w:rPr>
          <w:rFonts w:hint="eastAsia" w:ascii="宋体" w:hAnsi="宋体" w:eastAsia="宋体"/>
          <w:kern w:val="0"/>
          <w:sz w:val="24"/>
          <w:szCs w:val="24"/>
        </w:rPr>
        <w:t>规定了用于运送人员到工作位置并在悬吊平台上进行工作的高处作业吊篮主要零部件的报废条件。</w:t>
      </w:r>
      <w:r>
        <w:rPr>
          <w:rFonts w:hint="eastAsia" w:ascii="宋体" w:hAnsi="宋体" w:eastAsia="宋体"/>
          <w:sz w:val="24"/>
          <w:szCs w:val="24"/>
        </w:rPr>
        <w:t>本文件</w:t>
      </w:r>
      <w:r>
        <w:rPr>
          <w:rFonts w:hint="eastAsia" w:ascii="宋体" w:hAnsi="宋体" w:eastAsia="宋体"/>
          <w:kern w:val="0"/>
          <w:sz w:val="24"/>
          <w:szCs w:val="24"/>
        </w:rPr>
        <w:t>适用于G</w:t>
      </w:r>
      <w:r>
        <w:rPr>
          <w:rFonts w:ascii="宋体" w:hAnsi="宋体" w:eastAsia="宋体"/>
          <w:kern w:val="0"/>
          <w:sz w:val="24"/>
          <w:szCs w:val="24"/>
        </w:rPr>
        <w:t>B/T 19155</w:t>
      </w:r>
      <w:r>
        <w:rPr>
          <w:rFonts w:hint="eastAsia" w:ascii="宋体" w:hAnsi="宋体" w:eastAsia="宋体"/>
          <w:kern w:val="0"/>
          <w:sz w:val="24"/>
          <w:szCs w:val="24"/>
        </w:rPr>
        <w:t>界定的电力驱动的爬升式吊篮主要零部件的报废，卷扬式吊篮、夹钳式吊篮、手动或气动爬升式吊篮主要零部件的报废可参照执行。</w:t>
      </w:r>
    </w:p>
    <w:bookmarkEnd w:id="6"/>
    <w:bookmarkEnd w:id="7"/>
    <w:p w14:paraId="68C87B91">
      <w:pPr>
        <w:pStyle w:val="8"/>
        <w:spacing w:line="348" w:lineRule="auto"/>
        <w:ind w:left="731" w:leftChars="202" w:hanging="307" w:hangingChars="128"/>
        <w:rPr>
          <w:rFonts w:ascii="宋体" w:hAnsi="宋体" w:eastAsia="宋体"/>
          <w:sz w:val="24"/>
          <w:szCs w:val="24"/>
        </w:rPr>
      </w:pPr>
      <w:r>
        <w:rPr>
          <w:rFonts w:hint="eastAsia" w:ascii="宋体" w:hAnsi="宋体" w:eastAsia="宋体"/>
          <w:sz w:val="24"/>
          <w:szCs w:val="24"/>
        </w:rPr>
        <w:t>2）规范性引用文件。</w:t>
      </w:r>
    </w:p>
    <w:p w14:paraId="27D6512E">
      <w:pPr>
        <w:pStyle w:val="8"/>
        <w:spacing w:line="348" w:lineRule="auto"/>
        <w:ind w:left="731" w:leftChars="202" w:hanging="307" w:hangingChars="128"/>
        <w:rPr>
          <w:rFonts w:ascii="宋体" w:hAnsi="宋体" w:eastAsia="宋体"/>
          <w:sz w:val="24"/>
          <w:szCs w:val="24"/>
        </w:rPr>
      </w:pPr>
      <w:r>
        <w:rPr>
          <w:rFonts w:hint="eastAsia" w:ascii="宋体" w:hAnsi="宋体" w:eastAsia="宋体"/>
          <w:sz w:val="24"/>
          <w:szCs w:val="24"/>
        </w:rPr>
        <w:t>3）术语和定义。</w:t>
      </w:r>
    </w:p>
    <w:p w14:paraId="7DC65D07">
      <w:pPr>
        <w:pStyle w:val="8"/>
        <w:spacing w:line="348" w:lineRule="auto"/>
        <w:ind w:left="731" w:leftChars="202" w:hanging="307" w:hangingChars="128"/>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）报废条件：总则、提升机、安全锁、钢丝绳及固定装置、结构件、配重、电气控制箱。</w:t>
      </w:r>
    </w:p>
    <w:p w14:paraId="0360402E">
      <w:pPr>
        <w:pStyle w:val="8"/>
        <w:spacing w:line="348" w:lineRule="auto"/>
        <w:ind w:left="731" w:leftChars="202" w:hanging="307" w:hangingChars="128"/>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）记录。</w:t>
      </w:r>
    </w:p>
    <w:p w14:paraId="1F1077D6">
      <w:pPr>
        <w:pStyle w:val="8"/>
        <w:numPr>
          <w:ilvl w:val="0"/>
          <w:numId w:val="2"/>
        </w:numPr>
        <w:spacing w:line="348" w:lineRule="auto"/>
        <w:ind w:left="0" w:firstLine="0" w:firstLineChars="0"/>
        <w:rPr>
          <w:rFonts w:ascii="宋体" w:hAnsi="宋体" w:eastAsia="宋体"/>
          <w:b/>
          <w:sz w:val="24"/>
          <w:szCs w:val="24"/>
        </w:rPr>
      </w:pPr>
      <w:r>
        <w:rPr>
          <w:rFonts w:hint="eastAsia" w:ascii="宋体" w:hAnsi="宋体" w:eastAsia="宋体"/>
          <w:b/>
          <w:sz w:val="24"/>
          <w:szCs w:val="24"/>
        </w:rPr>
        <w:t>解决的主要问题</w:t>
      </w:r>
    </w:p>
    <w:p w14:paraId="3F2DB109">
      <w:pPr>
        <w:spacing w:line="348" w:lineRule="auto"/>
        <w:ind w:firstLine="480" w:firstLineChars="200"/>
        <w:rPr>
          <w:rFonts w:ascii="宋体" w:hAnsi="宋体" w:eastAsia="宋体"/>
          <w:sz w:val="24"/>
          <w:szCs w:val="24"/>
        </w:rPr>
      </w:pPr>
      <w:bookmarkStart w:id="8" w:name="OLE_LINK13"/>
      <w:bookmarkStart w:id="9" w:name="OLE_LINK12"/>
      <w:r>
        <w:rPr>
          <w:rFonts w:hint="eastAsia" w:ascii="宋体" w:hAnsi="宋体" w:eastAsia="宋体"/>
          <w:sz w:val="24"/>
          <w:szCs w:val="24"/>
        </w:rPr>
        <w:t>高处作业吊篮是一种临时安装的高空作业设备，吊篮在寿命周期内安装拆卸的次数较多，每次重复安装后吊篮使用周期变化较大，使用期间还可能进行多次移位。G</w:t>
      </w:r>
      <w:r>
        <w:rPr>
          <w:rFonts w:ascii="宋体" w:hAnsi="宋体" w:eastAsia="宋体"/>
          <w:sz w:val="24"/>
          <w:szCs w:val="24"/>
        </w:rPr>
        <w:t>B/T 19155-2017</w:t>
      </w:r>
      <w:r>
        <w:rPr>
          <w:rFonts w:hint="eastAsia" w:ascii="宋体" w:hAnsi="宋体" w:eastAsia="宋体"/>
          <w:sz w:val="24"/>
          <w:szCs w:val="24"/>
        </w:rPr>
        <w:t>《高处作业吊篮》实施后，高处作业吊篮的安全保护措施、技术水平和产品质量等均有了较大的提升，然而部分吊篮使用年份较长，设备老化，本标准的编制为防止不符合现行标准或该报废的老旧吊篮在吊篮市场上继续流转和使用提供依据。</w:t>
      </w:r>
    </w:p>
    <w:p w14:paraId="402871F2">
      <w:pPr>
        <w:spacing w:line="348" w:lineRule="auto"/>
        <w:ind w:firstLine="480" w:firstLineChars="200"/>
        <w:rPr>
          <w:rFonts w:ascii="宋体" w:hAnsi="宋体" w:eastAsia="宋体" w:cs="宋体"/>
          <w:color w:val="FF9933"/>
          <w:kern w:val="0"/>
          <w:sz w:val="24"/>
          <w:szCs w:val="24"/>
        </w:rPr>
      </w:pPr>
      <w:r>
        <w:rPr>
          <w:rFonts w:hint="eastAsia" w:ascii="宋体" w:hAnsi="宋体" w:eastAsia="宋体"/>
          <w:sz w:val="24"/>
          <w:szCs w:val="24"/>
        </w:rPr>
        <w:t>吊篮市场上除部分自用吊篮外，大多数吊篮是向吊篮租赁公司租借使用，而吊篮租赁公司负责对吊篮的维护、保养和修理工作，由于吊篮租赁公司的吊篮数量规模、管理水平、维保人员技能、维保要求等参差不齐，导致吊篮主要零部件维保质量高低不一。</w:t>
      </w:r>
      <w:r>
        <w:rPr>
          <w:rFonts w:hint="eastAsia" w:ascii="宋体" w:hAnsi="宋体" w:eastAsia="宋体"/>
          <w:color w:val="000000" w:themeColor="text1"/>
          <w:kern w:val="0"/>
          <w:sz w:val="24"/>
          <w:szCs w:val="24"/>
          <w14:textFill>
            <w14:solidFill>
              <w14:schemeClr w14:val="tx1"/>
            </w14:solidFill>
          </w14:textFill>
        </w:rPr>
        <w:t>吊篮生态链中涉及从业人员较多，由于高处作业吊篮的专业性，部分从业者难以准确</w:t>
      </w:r>
      <w:r>
        <w:rPr>
          <w:rFonts w:hint="eastAsia" w:ascii="宋体" w:hAnsi="宋体" w:eastAsia="宋体"/>
          <w:kern w:val="0"/>
          <w:sz w:val="24"/>
          <w:szCs w:val="24"/>
        </w:rPr>
        <w:t>判断已损坏或性能下降的吊篮零部件的报废界限</w:t>
      </w:r>
      <w:r>
        <w:rPr>
          <w:rFonts w:hint="eastAsia" w:ascii="宋体" w:hAnsi="宋体" w:eastAsia="宋体"/>
          <w:color w:val="000000" w:themeColor="text1"/>
          <w:kern w:val="0"/>
          <w:sz w:val="24"/>
          <w:szCs w:val="24"/>
          <w14:textFill>
            <w14:solidFill>
              <w14:schemeClr w14:val="tx1"/>
            </w14:solidFill>
          </w14:textFill>
        </w:rPr>
        <w:t>，致使吊篮带病运行，使用中存在安全隐患。</w:t>
      </w:r>
    </w:p>
    <w:p w14:paraId="41C49617">
      <w:pPr>
        <w:spacing w:line="348" w:lineRule="auto"/>
        <w:ind w:firstLine="480" w:firstLineChars="200"/>
        <w:rPr>
          <w:rFonts w:ascii="宋体" w:hAnsi="宋体" w:eastAsia="宋体"/>
          <w:sz w:val="24"/>
          <w:szCs w:val="24"/>
        </w:rPr>
      </w:pPr>
      <w:r>
        <w:rPr>
          <w:rFonts w:hint="eastAsia" w:ascii="宋体" w:hAnsi="宋体" w:eastAsia="宋体"/>
          <w:sz w:val="24"/>
          <w:szCs w:val="24"/>
        </w:rPr>
        <w:t>本标准的制定对高处作业吊篮主要零部件的报废条件作出了较为详细的规定，列出了吊篮主要零部件报废的技术要求及技术指标，明确高处作业吊篮主要零部件的报废界限，报废条件尽量参数化。</w:t>
      </w:r>
    </w:p>
    <w:bookmarkEnd w:id="8"/>
    <w:bookmarkEnd w:id="9"/>
    <w:p w14:paraId="3468E015">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三、主要试验或验证情况</w:t>
      </w:r>
    </w:p>
    <w:p w14:paraId="63230F11">
      <w:pPr>
        <w:pStyle w:val="8"/>
        <w:spacing w:line="348" w:lineRule="auto"/>
        <w:ind w:firstLine="484" w:firstLineChars="202"/>
        <w:rPr>
          <w:rFonts w:ascii="宋体" w:hAnsi="宋体" w:eastAsia="宋体"/>
          <w:sz w:val="24"/>
          <w:szCs w:val="24"/>
        </w:rPr>
      </w:pPr>
      <w:r>
        <w:rPr>
          <w:rFonts w:hint="eastAsia" w:ascii="宋体" w:hAnsi="宋体" w:eastAsia="宋体"/>
          <w:sz w:val="24"/>
          <w:szCs w:val="24"/>
        </w:rPr>
        <w:t>市场上存量在用的高处作业吊篮规格绝大部分是电力驱动Z</w:t>
      </w:r>
      <w:r>
        <w:rPr>
          <w:rFonts w:ascii="宋体" w:hAnsi="宋体" w:eastAsia="宋体"/>
          <w:sz w:val="24"/>
          <w:szCs w:val="24"/>
        </w:rPr>
        <w:t>LP630</w:t>
      </w:r>
      <w:r>
        <w:rPr>
          <w:rFonts w:hint="eastAsia" w:ascii="宋体" w:hAnsi="宋体" w:eastAsia="宋体"/>
          <w:sz w:val="24"/>
          <w:szCs w:val="24"/>
        </w:rPr>
        <w:t>型爬升式吊篮，由于国内生产的高处作业吊篮结构基本相同，很多吊篮租赁商通常会采购多个品牌的高处作业吊篮，在安装时经常会发生不同品牌的吊篮零部件混装状况，而各品牌的吊篮制造商规定的零部件维保、修理要求存在差异，对零部件的报废规定也不够明确，导致经常出现吊篮维保不到位，该报废的吊篮零部件仍然使用的状况。部分在G</w:t>
      </w:r>
      <w:r>
        <w:rPr>
          <w:rFonts w:ascii="宋体" w:hAnsi="宋体" w:eastAsia="宋体"/>
          <w:sz w:val="24"/>
          <w:szCs w:val="24"/>
        </w:rPr>
        <w:t>B/T 19155-</w:t>
      </w:r>
      <w:r>
        <w:rPr>
          <w:rFonts w:hint="eastAsia" w:ascii="宋体" w:hAnsi="宋体" w:eastAsia="宋体"/>
          <w:sz w:val="24"/>
          <w:szCs w:val="24"/>
        </w:rPr>
        <w:t>2</w:t>
      </w:r>
      <w:r>
        <w:rPr>
          <w:rFonts w:ascii="宋体" w:hAnsi="宋体" w:eastAsia="宋体"/>
          <w:sz w:val="24"/>
          <w:szCs w:val="24"/>
        </w:rPr>
        <w:t>017</w:t>
      </w:r>
      <w:r>
        <w:rPr>
          <w:rFonts w:hint="eastAsia" w:ascii="宋体" w:hAnsi="宋体" w:eastAsia="宋体"/>
          <w:sz w:val="24"/>
          <w:szCs w:val="24"/>
        </w:rPr>
        <w:t>标准实施前生产的吊篮提升机由于不要求安装计时器且使用年份较长，不能确定其实际运行时长，需要对提升机进行大修和全面检测。</w:t>
      </w:r>
    </w:p>
    <w:p w14:paraId="644D48C9">
      <w:pPr>
        <w:pStyle w:val="8"/>
        <w:spacing w:line="348" w:lineRule="auto"/>
        <w:ind w:firstLine="484" w:firstLineChars="202"/>
        <w:rPr>
          <w:rFonts w:ascii="宋体" w:hAnsi="宋体" w:eastAsia="宋体"/>
          <w:sz w:val="24"/>
          <w:szCs w:val="24"/>
        </w:rPr>
      </w:pPr>
      <w:r>
        <w:rPr>
          <w:rFonts w:hint="eastAsia" w:ascii="宋体" w:hAnsi="宋体" w:eastAsia="宋体"/>
          <w:sz w:val="24"/>
          <w:szCs w:val="24"/>
        </w:rPr>
        <w:t>高处作业吊篮在工地现场使用过程中和整机拆除后，需要对提升机、安全锁、电控系统及结构件和配重等主要零部件进行检查、维护、修复或报废处理，其中钢丝绳的检查与报废引用了G</w:t>
      </w:r>
      <w:r>
        <w:rPr>
          <w:rFonts w:ascii="宋体" w:hAnsi="宋体" w:eastAsia="宋体"/>
          <w:sz w:val="24"/>
          <w:szCs w:val="24"/>
        </w:rPr>
        <w:t>B/T 5972-2023</w:t>
      </w:r>
      <w:r>
        <w:rPr>
          <w:rFonts w:hint="eastAsia" w:ascii="宋体" w:hAnsi="宋体" w:eastAsia="宋体"/>
          <w:sz w:val="24"/>
          <w:szCs w:val="24"/>
        </w:rPr>
        <w:t>标准，并结合吊篮常用钢丝绳的允许断丝数列表说明。通过吊篮主要零部件的报废应用验证，证明了本标准规定的技术指标和报废程序先进合理、切实可行，具有可操作性、适用性。</w:t>
      </w:r>
    </w:p>
    <w:p w14:paraId="44D7285E">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四、</w:t>
      </w:r>
      <w:r>
        <w:rPr>
          <w:rFonts w:ascii="宋体" w:hAnsi="宋体" w:eastAsia="宋体"/>
          <w:b/>
          <w:sz w:val="24"/>
          <w:szCs w:val="24"/>
        </w:rPr>
        <w:t>推广应用论证和预期达到的经济效益、社会效益和生态效益等</w:t>
      </w:r>
    </w:p>
    <w:p w14:paraId="6443C2C8">
      <w:pPr>
        <w:widowControl/>
        <w:kinsoku w:val="0"/>
        <w:overflowPunct w:val="0"/>
        <w:spacing w:line="348" w:lineRule="auto"/>
        <w:ind w:firstLine="420"/>
        <w:jc w:val="left"/>
        <w:textAlignment w:val="baseline"/>
      </w:pPr>
      <w:r>
        <w:rPr>
          <w:rFonts w:hint="eastAsia" w:ascii="宋体" w:hAnsi="宋体" w:eastAsia="宋体"/>
          <w:sz w:val="24"/>
          <w:szCs w:val="24"/>
        </w:rPr>
        <w:t>高处作业吊篮行业伴随着我国经济的高速发展而快速成长，目前市场上存量吊篮的数量极大，由于吊篮的拆装频率较高，吊篮零部件的损坏率也较高，吊篮服务商也忙于吊篮零部件的维护、整修工作，为下次吊篮的出租和安装使用作好准备，但在实际修理过程中难以判断磨损或损坏零部件报废的界限。本标准的编制</w:t>
      </w:r>
      <w:r>
        <w:rPr>
          <w:rFonts w:hint="eastAsia" w:ascii="宋体" w:hAnsi="宋体" w:eastAsia="宋体"/>
          <w:kern w:val="0"/>
          <w:sz w:val="24"/>
          <w:szCs w:val="24"/>
        </w:rPr>
        <w:t>为高处作业吊篮租赁服务商及相关产权单位对吊篮主要零部件的报废提供依据，对规范吊篮维保和报废工作具有促进作用，提高吊篮维修质量，更好地利用存量吊篮，有利于相关企业提高经济效益。</w:t>
      </w:r>
    </w:p>
    <w:p w14:paraId="1FEC703C">
      <w:pPr>
        <w:widowControl/>
        <w:kinsoku w:val="0"/>
        <w:overflowPunct w:val="0"/>
        <w:spacing w:line="348" w:lineRule="auto"/>
        <w:ind w:firstLine="420"/>
        <w:jc w:val="left"/>
        <w:textAlignment w:val="baseline"/>
        <w:rPr>
          <w:rFonts w:ascii="宋体" w:hAnsi="宋体" w:eastAsia="宋体" w:cs="宋体"/>
          <w:kern w:val="0"/>
          <w:sz w:val="24"/>
          <w:szCs w:val="24"/>
        </w:rPr>
      </w:pPr>
      <w:r>
        <w:rPr>
          <w:rFonts w:hint="eastAsia" w:ascii="宋体" w:hAnsi="宋体" w:eastAsia="宋体"/>
          <w:kern w:val="0"/>
          <w:sz w:val="24"/>
          <w:szCs w:val="24"/>
        </w:rPr>
        <w:t>本标准的编制有利于消除吊篮使用中的安全隐患，有效降低施工作业安全风险，对减少安全事故的发生、减少人员伤亡、减少财产损失有重要意义，</w:t>
      </w:r>
      <w:r>
        <w:rPr>
          <w:rFonts w:hint="eastAsia" w:ascii="宋体" w:hAnsi="宋体" w:eastAsia="宋体"/>
          <w:color w:val="000000" w:themeColor="text1"/>
          <w:kern w:val="0"/>
          <w:sz w:val="24"/>
          <w:szCs w:val="24"/>
          <w14:textFill>
            <w14:solidFill>
              <w14:schemeClr w14:val="tx1"/>
            </w14:solidFill>
          </w14:textFill>
        </w:rPr>
        <w:t>吊篮行业产业链中的各相关单位均能从中获益，</w:t>
      </w:r>
      <w:r>
        <w:rPr>
          <w:rFonts w:hint="eastAsia" w:ascii="宋体" w:hAnsi="宋体" w:eastAsia="宋体"/>
          <w:kern w:val="0"/>
          <w:sz w:val="24"/>
          <w:szCs w:val="24"/>
        </w:rPr>
        <w:t>具有很好的社会效益和经济效益。</w:t>
      </w:r>
    </w:p>
    <w:p w14:paraId="29C68E2D">
      <w:pPr>
        <w:pStyle w:val="8"/>
        <w:widowControl/>
        <w:kinsoku w:val="0"/>
        <w:overflowPunct w:val="0"/>
        <w:spacing w:line="348" w:lineRule="auto"/>
        <w:ind w:left="1" w:firstLine="480"/>
        <w:jc w:val="left"/>
        <w:textAlignment w:val="baseline"/>
        <w:rPr>
          <w:rFonts w:ascii="宋体" w:hAnsi="宋体" w:eastAsia="宋体"/>
          <w:sz w:val="24"/>
          <w:szCs w:val="24"/>
        </w:rPr>
      </w:pPr>
      <w:r>
        <w:rPr>
          <w:rFonts w:hint="eastAsia" w:ascii="宋体" w:hAnsi="宋体" w:eastAsia="宋体"/>
          <w:kern w:val="0"/>
          <w:sz w:val="24"/>
          <w:szCs w:val="24"/>
        </w:rPr>
        <w:t>本标准的编制为国家标准的实施提供配套支撑，是国家标准GB/T 19155-2017《高处作业吊篮》在设备维保、修复、报废判定方面的补充和完善。本标准实施后能够</w:t>
      </w:r>
      <w:r>
        <w:rPr>
          <w:rFonts w:hint="eastAsia" w:ascii="宋体" w:hAnsi="宋体" w:eastAsia="宋体"/>
          <w:color w:val="000000" w:themeColor="text1"/>
          <w:kern w:val="0"/>
          <w:sz w:val="24"/>
          <w:szCs w:val="24"/>
          <w14:textFill>
            <w14:solidFill>
              <w14:schemeClr w14:val="tx1"/>
            </w14:solidFill>
          </w14:textFill>
        </w:rPr>
        <w:t>推动国内高处作业吊篮行业的健康发展，能够满足社会绿色发展的需求。</w:t>
      </w:r>
    </w:p>
    <w:p w14:paraId="27725285">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五、</w:t>
      </w:r>
      <w:r>
        <w:rPr>
          <w:rFonts w:ascii="宋体" w:hAnsi="宋体" w:eastAsia="宋体"/>
          <w:b/>
          <w:sz w:val="24"/>
          <w:szCs w:val="24"/>
        </w:rPr>
        <w:t>国内外标准的研究情况说明</w:t>
      </w:r>
    </w:p>
    <w:p w14:paraId="10186816">
      <w:pPr>
        <w:spacing w:line="348" w:lineRule="auto"/>
        <w:rPr>
          <w:rFonts w:ascii="宋体" w:hAnsi="宋体" w:eastAsia="宋体" w:cs="Times New Roman"/>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cs="Times New Roman"/>
          <w:sz w:val="24"/>
          <w:szCs w:val="24"/>
        </w:rPr>
        <w:t>目前尚无专门针对高处作业吊篮主要零部件判定报废的技术要求而编写的相关标准。</w:t>
      </w:r>
    </w:p>
    <w:p w14:paraId="57C397C0">
      <w:pPr>
        <w:shd w:val="clear" w:color="auto" w:fill="FFFFFF"/>
        <w:spacing w:line="348" w:lineRule="auto"/>
        <w:ind w:firstLine="482"/>
        <w:rPr>
          <w:rFonts w:ascii="宋体" w:hAnsi="宋体" w:eastAsia="宋体" w:cs="宋体"/>
          <w:sz w:val="24"/>
          <w:szCs w:val="24"/>
        </w:rPr>
      </w:pPr>
      <w:bookmarkStart w:id="10" w:name="OLE_LINK3"/>
      <w:r>
        <w:rPr>
          <w:rFonts w:hint="eastAsia" w:ascii="宋体" w:hAnsi="宋体" w:eastAsia="宋体" w:cs="Times New Roman"/>
          <w:sz w:val="24"/>
          <w:szCs w:val="24"/>
        </w:rPr>
        <w:t>现行的GB/T 19155—2017《高处作业吊篮》</w:t>
      </w:r>
      <w:bookmarkStart w:id="11" w:name="OLE_LINK6"/>
      <w:bookmarkStart w:id="12" w:name="OLE_LINK5"/>
      <w:r>
        <w:rPr>
          <w:rFonts w:hint="eastAsia" w:ascii="宋体" w:hAnsi="宋体" w:eastAsia="宋体" w:cs="Times New Roman"/>
          <w:sz w:val="24"/>
          <w:szCs w:val="24"/>
        </w:rPr>
        <w:t>、T/CCMA 0015—2023《高处作业吊篮和擦窗机检查、维护保养与操作安全规则》</w:t>
      </w:r>
      <w:bookmarkEnd w:id="11"/>
      <w:bookmarkEnd w:id="12"/>
      <w:r>
        <w:rPr>
          <w:rFonts w:hint="eastAsia" w:ascii="宋体" w:hAnsi="宋体" w:eastAsia="宋体" w:cs="Times New Roman"/>
          <w:sz w:val="24"/>
          <w:szCs w:val="24"/>
        </w:rPr>
        <w:t>对该标准的编制有一定的指导意义。</w:t>
      </w:r>
      <w:bookmarkEnd w:id="10"/>
      <w:r>
        <w:rPr>
          <w:rFonts w:hint="eastAsia" w:ascii="宋体" w:hAnsi="宋体" w:eastAsia="宋体" w:cs="宋体"/>
          <w:sz w:val="24"/>
          <w:szCs w:val="24"/>
        </w:rPr>
        <w:t>除</w:t>
      </w:r>
      <w:r>
        <w:rPr>
          <w:rFonts w:hint="eastAsia" w:ascii="宋体" w:hAnsi="宋体" w:eastAsia="宋体" w:cs="Times New Roman"/>
          <w:sz w:val="24"/>
          <w:szCs w:val="24"/>
        </w:rPr>
        <w:t>G</w:t>
      </w:r>
      <w:r>
        <w:rPr>
          <w:rFonts w:ascii="宋体" w:hAnsi="宋体" w:eastAsia="宋体" w:cs="Times New Roman"/>
          <w:sz w:val="24"/>
          <w:szCs w:val="24"/>
        </w:rPr>
        <w:t>B 40160</w:t>
      </w:r>
      <w:r>
        <w:rPr>
          <w:rFonts w:hint="eastAsia" w:ascii="宋体" w:hAnsi="宋体" w:eastAsia="宋体" w:cs="Times New Roman"/>
          <w:sz w:val="24"/>
          <w:szCs w:val="24"/>
        </w:rPr>
        <w:t>《升降工作平台安全规则》中第5</w:t>
      </w:r>
      <w:r>
        <w:rPr>
          <w:rFonts w:ascii="宋体" w:hAnsi="宋体" w:eastAsia="宋体" w:cs="Times New Roman"/>
          <w:sz w:val="24"/>
          <w:szCs w:val="24"/>
        </w:rPr>
        <w:t>.6</w:t>
      </w:r>
      <w:r>
        <w:rPr>
          <w:rFonts w:hint="eastAsia" w:ascii="宋体" w:hAnsi="宋体" w:eastAsia="宋体" w:cs="Times New Roman"/>
          <w:sz w:val="24"/>
          <w:szCs w:val="24"/>
        </w:rPr>
        <w:t>条和</w:t>
      </w:r>
      <w:r>
        <w:rPr>
          <w:rFonts w:hint="eastAsia" w:ascii="宋体" w:hAnsi="宋体" w:eastAsia="宋体" w:cs="宋体"/>
          <w:sz w:val="24"/>
          <w:szCs w:val="24"/>
        </w:rPr>
        <w:t>GB/T 19155—2017《高处作业吊篮》中第5</w:t>
      </w:r>
      <w:r>
        <w:rPr>
          <w:rFonts w:ascii="宋体" w:hAnsi="宋体" w:eastAsia="宋体" w:cs="宋体"/>
          <w:sz w:val="24"/>
          <w:szCs w:val="24"/>
        </w:rPr>
        <w:t>.4</w:t>
      </w:r>
      <w:r>
        <w:rPr>
          <w:rFonts w:hint="eastAsia" w:ascii="宋体" w:hAnsi="宋体" w:eastAsia="宋体" w:cs="宋体"/>
          <w:sz w:val="24"/>
          <w:szCs w:val="24"/>
        </w:rPr>
        <w:t>条规定了高处作业吊篮结构件的报废，也有一些地方标准规定了吊篮重要部件的使用年限和部件报废规定，但还没有一个完整的详细的标准规范来指导高处作业吊篮主要部件的报废。</w:t>
      </w:r>
    </w:p>
    <w:p w14:paraId="4842013F">
      <w:pPr>
        <w:widowControl/>
        <w:adjustRightInd w:val="0"/>
        <w:snapToGrid w:val="0"/>
        <w:spacing w:line="348" w:lineRule="auto"/>
        <w:ind w:firstLine="480" w:firstLineChars="200"/>
        <w:jc w:val="left"/>
        <w:rPr>
          <w:rFonts w:ascii="宋体" w:hAnsi="宋体" w:eastAsia="宋体"/>
          <w:kern w:val="0"/>
          <w:sz w:val="24"/>
          <w:szCs w:val="24"/>
        </w:rPr>
      </w:pPr>
      <w:r>
        <w:rPr>
          <w:rFonts w:hint="eastAsia" w:ascii="宋体" w:hAnsi="宋体" w:eastAsia="宋体"/>
          <w:sz w:val="24"/>
          <w:szCs w:val="24"/>
        </w:rPr>
        <w:t>本标准中高处作业吊篮用钢丝绳的报废条件引用了G</w:t>
      </w:r>
      <w:r>
        <w:rPr>
          <w:rFonts w:ascii="宋体" w:hAnsi="宋体" w:eastAsia="宋体"/>
          <w:sz w:val="24"/>
          <w:szCs w:val="24"/>
        </w:rPr>
        <w:t>B/T 5972-2023</w:t>
      </w:r>
      <w:r>
        <w:rPr>
          <w:rFonts w:ascii="宋体" w:hAnsi="宋体"/>
          <w:kern w:val="0"/>
          <w:sz w:val="24"/>
          <w:szCs w:val="24"/>
        </w:rPr>
        <w:t xml:space="preserve"> </w:t>
      </w:r>
      <w:r>
        <w:rPr>
          <w:rFonts w:hint="eastAsia" w:ascii="宋体" w:hAnsi="宋体" w:eastAsia="宋体"/>
          <w:kern w:val="0"/>
          <w:sz w:val="24"/>
          <w:szCs w:val="24"/>
        </w:rPr>
        <w:t xml:space="preserve">《起重机 </w:t>
      </w:r>
      <w:r>
        <w:rPr>
          <w:rFonts w:ascii="宋体" w:hAnsi="宋体" w:eastAsia="宋体"/>
          <w:kern w:val="0"/>
          <w:sz w:val="24"/>
          <w:szCs w:val="24"/>
        </w:rPr>
        <w:t xml:space="preserve"> </w:t>
      </w:r>
      <w:r>
        <w:rPr>
          <w:rFonts w:hint="eastAsia" w:ascii="宋体" w:hAnsi="宋体" w:eastAsia="宋体"/>
          <w:kern w:val="0"/>
          <w:sz w:val="24"/>
          <w:szCs w:val="24"/>
        </w:rPr>
        <w:t xml:space="preserve">钢丝绳 </w:t>
      </w:r>
      <w:r>
        <w:rPr>
          <w:rFonts w:ascii="宋体" w:hAnsi="宋体" w:eastAsia="宋体"/>
          <w:kern w:val="0"/>
          <w:sz w:val="24"/>
          <w:szCs w:val="24"/>
        </w:rPr>
        <w:t xml:space="preserve"> </w:t>
      </w:r>
      <w:r>
        <w:rPr>
          <w:rFonts w:hint="eastAsia" w:ascii="宋体" w:hAnsi="宋体" w:eastAsia="宋体"/>
          <w:kern w:val="0"/>
          <w:sz w:val="24"/>
          <w:szCs w:val="24"/>
        </w:rPr>
        <w:t>保养、维护、检验和报废》的相关规定，并结合G</w:t>
      </w:r>
      <w:r>
        <w:rPr>
          <w:rFonts w:ascii="宋体" w:hAnsi="宋体" w:eastAsia="宋体"/>
          <w:kern w:val="0"/>
          <w:sz w:val="24"/>
          <w:szCs w:val="24"/>
        </w:rPr>
        <w:t>B/T19155-2017</w:t>
      </w:r>
      <w:r>
        <w:rPr>
          <w:rFonts w:hint="eastAsia" w:ascii="宋体" w:hAnsi="宋体" w:eastAsia="宋体"/>
          <w:kern w:val="0"/>
          <w:sz w:val="24"/>
          <w:szCs w:val="24"/>
        </w:rPr>
        <w:t>的钢丝绳可靠性试验规定和吊篮钢丝绳的实际应用情况进行编制。</w:t>
      </w:r>
    </w:p>
    <w:p w14:paraId="21B177A7">
      <w:pPr>
        <w:spacing w:line="348" w:lineRule="auto"/>
        <w:ind w:firstLine="480" w:firstLineChars="200"/>
        <w:jc w:val="left"/>
        <w:rPr>
          <w:rFonts w:ascii="宋体" w:hAnsi="宋体" w:eastAsia="宋体"/>
          <w:kern w:val="0"/>
          <w:sz w:val="24"/>
          <w:szCs w:val="24"/>
        </w:rPr>
      </w:pPr>
      <w:r>
        <w:rPr>
          <w:rFonts w:hint="eastAsia" w:ascii="宋体" w:hAnsi="宋体" w:eastAsia="宋体"/>
          <w:kern w:val="0"/>
          <w:sz w:val="24"/>
          <w:szCs w:val="24"/>
        </w:rPr>
        <w:t>本标准在编制过程中参考了已实施的</w:t>
      </w:r>
      <w:bookmarkStart w:id="13" w:name="OLE_LINK18"/>
      <w:bookmarkStart w:id="14" w:name="OLE_LINK19"/>
      <w:r>
        <w:rPr>
          <w:rFonts w:hint="eastAsia" w:ascii="宋体" w:hAnsi="宋体" w:eastAsia="宋体"/>
          <w:kern w:val="0"/>
          <w:sz w:val="24"/>
          <w:szCs w:val="24"/>
        </w:rPr>
        <w:t>D</w:t>
      </w:r>
      <w:r>
        <w:rPr>
          <w:rFonts w:ascii="宋体" w:hAnsi="宋体" w:eastAsia="宋体"/>
          <w:kern w:val="0"/>
          <w:sz w:val="24"/>
          <w:szCs w:val="24"/>
        </w:rPr>
        <w:t>B22/T 5169-2024</w:t>
      </w:r>
      <w:r>
        <w:rPr>
          <w:rFonts w:hint="eastAsia" w:ascii="宋体" w:hAnsi="宋体" w:eastAsia="宋体"/>
          <w:kern w:val="0"/>
          <w:sz w:val="24"/>
          <w:szCs w:val="24"/>
        </w:rPr>
        <w:t>《建筑施工高处作业吊篮应用标准》、D</w:t>
      </w:r>
      <w:r>
        <w:rPr>
          <w:rFonts w:ascii="宋体" w:hAnsi="宋体" w:eastAsia="宋体"/>
          <w:kern w:val="0"/>
          <w:sz w:val="24"/>
          <w:szCs w:val="24"/>
        </w:rPr>
        <w:t>BJ33/T 1271-2022</w:t>
      </w:r>
      <w:r>
        <w:rPr>
          <w:rFonts w:hint="eastAsia" w:ascii="宋体" w:hAnsi="宋体" w:eastAsia="宋体"/>
          <w:kern w:val="0"/>
          <w:sz w:val="24"/>
          <w:szCs w:val="24"/>
        </w:rPr>
        <w:t>《建筑施工高处作业吊篮安全技术规程》、</w:t>
      </w:r>
      <w:bookmarkStart w:id="15" w:name="OLE_LINK4"/>
      <w:bookmarkStart w:id="16" w:name="OLE_LINK2"/>
      <w:r>
        <w:rPr>
          <w:rFonts w:ascii="宋体" w:hAnsi="宋体" w:eastAsia="宋体" w:cs="Segoe UI"/>
          <w:sz w:val="24"/>
          <w:szCs w:val="24"/>
          <w:shd w:val="clear" w:color="auto" w:fill="FFFFFF"/>
        </w:rPr>
        <w:t>DB2101/T 0031-2021《建筑吊篮安全施工管理规范》</w:t>
      </w:r>
      <w:bookmarkEnd w:id="13"/>
      <w:bookmarkEnd w:id="14"/>
      <w:bookmarkEnd w:id="15"/>
      <w:bookmarkEnd w:id="16"/>
      <w:r>
        <w:rPr>
          <w:rFonts w:hint="eastAsia" w:ascii="宋体" w:hAnsi="宋体" w:eastAsia="宋体" w:cs="Segoe UI"/>
          <w:sz w:val="24"/>
          <w:szCs w:val="24"/>
          <w:shd w:val="clear" w:color="auto" w:fill="FFFFFF"/>
        </w:rPr>
        <w:t>等</w:t>
      </w:r>
      <w:r>
        <w:rPr>
          <w:rFonts w:hint="eastAsia" w:ascii="宋体" w:hAnsi="宋体" w:eastAsia="宋体"/>
          <w:kern w:val="0"/>
          <w:sz w:val="24"/>
          <w:szCs w:val="24"/>
        </w:rPr>
        <w:t>相关地方标准。</w:t>
      </w:r>
    </w:p>
    <w:p w14:paraId="0B6DD3EE">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六、</w:t>
      </w:r>
      <w:r>
        <w:rPr>
          <w:rFonts w:ascii="宋体" w:hAnsi="宋体" w:eastAsia="宋体"/>
          <w:b/>
          <w:sz w:val="24"/>
          <w:szCs w:val="24"/>
        </w:rPr>
        <w:t>采用国际标准和国外先进标准及对比情况</w:t>
      </w:r>
    </w:p>
    <w:p w14:paraId="398AA844">
      <w:pPr>
        <w:pStyle w:val="8"/>
        <w:spacing w:line="348" w:lineRule="auto"/>
        <w:ind w:firstLine="443" w:firstLineChars="0"/>
        <w:rPr>
          <w:rFonts w:ascii="宋体" w:hAnsi="宋体" w:eastAsia="宋体"/>
          <w:sz w:val="24"/>
          <w:szCs w:val="24"/>
        </w:rPr>
      </w:pPr>
      <w:r>
        <w:rPr>
          <w:rFonts w:hint="eastAsia" w:ascii="宋体" w:hAnsi="宋体" w:eastAsia="宋体"/>
          <w:sz w:val="24"/>
          <w:szCs w:val="24"/>
        </w:rPr>
        <w:t>本标准没有采用国际、国外标准。</w:t>
      </w:r>
    </w:p>
    <w:p w14:paraId="5FAA0F14">
      <w:pPr>
        <w:pStyle w:val="8"/>
        <w:spacing w:line="348" w:lineRule="auto"/>
        <w:ind w:firstLine="443" w:firstLineChars="0"/>
        <w:rPr>
          <w:rFonts w:ascii="宋体" w:hAnsi="宋体" w:eastAsia="宋体"/>
          <w:sz w:val="24"/>
          <w:szCs w:val="24"/>
        </w:rPr>
      </w:pPr>
      <w:r>
        <w:rPr>
          <w:rFonts w:hint="eastAsia" w:ascii="宋体" w:hAnsi="宋体" w:eastAsia="宋体"/>
          <w:sz w:val="24"/>
          <w:szCs w:val="24"/>
        </w:rPr>
        <w:t>本标准制定过程中未查询到同类国际、国外标准。</w:t>
      </w:r>
    </w:p>
    <w:p w14:paraId="45E40589">
      <w:pPr>
        <w:pStyle w:val="8"/>
        <w:spacing w:line="348" w:lineRule="auto"/>
        <w:ind w:firstLine="443" w:firstLineChars="0"/>
        <w:rPr>
          <w:rFonts w:ascii="宋体" w:hAnsi="宋体" w:eastAsia="宋体"/>
          <w:sz w:val="24"/>
          <w:szCs w:val="24"/>
        </w:rPr>
      </w:pPr>
      <w:r>
        <w:rPr>
          <w:rFonts w:hint="eastAsia" w:ascii="宋体" w:hAnsi="宋体" w:eastAsia="宋体"/>
          <w:sz w:val="24"/>
          <w:szCs w:val="24"/>
        </w:rPr>
        <w:t>本标准水平为国内先进水平。</w:t>
      </w:r>
    </w:p>
    <w:p w14:paraId="58D5A0D4">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七、</w:t>
      </w:r>
      <w:r>
        <w:rPr>
          <w:rFonts w:ascii="宋体" w:hAnsi="宋体" w:eastAsia="宋体"/>
          <w:b/>
          <w:sz w:val="24"/>
          <w:szCs w:val="24"/>
        </w:rPr>
        <w:t>重大分歧意见的处理经过和依据</w:t>
      </w:r>
    </w:p>
    <w:p w14:paraId="46D22E66">
      <w:pPr>
        <w:pStyle w:val="8"/>
        <w:spacing w:line="348" w:lineRule="auto"/>
        <w:ind w:firstLine="0" w:firstLineChars="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无。</w:t>
      </w:r>
    </w:p>
    <w:p w14:paraId="3B04B862">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八、</w:t>
      </w:r>
      <w:r>
        <w:rPr>
          <w:rFonts w:ascii="宋体" w:hAnsi="宋体" w:eastAsia="宋体"/>
          <w:b/>
          <w:sz w:val="24"/>
          <w:szCs w:val="24"/>
        </w:rPr>
        <w:t>涉及专利的有关说明</w:t>
      </w:r>
    </w:p>
    <w:p w14:paraId="358FA32A">
      <w:pPr>
        <w:pStyle w:val="8"/>
        <w:spacing w:line="348" w:lineRule="auto"/>
        <w:ind w:firstLine="0" w:firstLineChars="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本标准不涉及专利。</w:t>
      </w:r>
    </w:p>
    <w:p w14:paraId="03687C52">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九、</w:t>
      </w:r>
      <w:r>
        <w:rPr>
          <w:rFonts w:ascii="宋体" w:hAnsi="宋体" w:eastAsia="宋体"/>
          <w:b/>
          <w:sz w:val="24"/>
          <w:szCs w:val="24"/>
        </w:rPr>
        <w:t>标准贯彻实施的要求和措施建议</w:t>
      </w:r>
    </w:p>
    <w:p w14:paraId="78C7CA45">
      <w:pPr>
        <w:pStyle w:val="8"/>
        <w:spacing w:line="348" w:lineRule="auto"/>
        <w:ind w:firstLine="0" w:firstLineChars="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建议本标准批准发布6个月后实施。标准实施后，组织行业内相关单位开展会议培训或线上课程培训。</w:t>
      </w:r>
    </w:p>
    <w:p w14:paraId="46A45FCA">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十、</w:t>
      </w:r>
      <w:r>
        <w:rPr>
          <w:rFonts w:ascii="宋体" w:hAnsi="宋体" w:eastAsia="宋体"/>
          <w:b/>
          <w:sz w:val="24"/>
          <w:szCs w:val="24"/>
        </w:rPr>
        <w:t>废止现行相关标准的建议</w:t>
      </w:r>
    </w:p>
    <w:p w14:paraId="21BFFF68">
      <w:pPr>
        <w:pStyle w:val="8"/>
        <w:spacing w:line="348" w:lineRule="auto"/>
        <w:ind w:firstLine="0" w:firstLineChars="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无。</w:t>
      </w:r>
    </w:p>
    <w:p w14:paraId="215E65AD">
      <w:pPr>
        <w:pStyle w:val="8"/>
        <w:spacing w:line="348" w:lineRule="auto"/>
        <w:ind w:firstLine="0" w:firstLineChars="0"/>
        <w:rPr>
          <w:rFonts w:ascii="宋体" w:hAnsi="宋体" w:eastAsia="宋体"/>
          <w:b/>
          <w:sz w:val="24"/>
          <w:szCs w:val="24"/>
        </w:rPr>
      </w:pPr>
      <w:r>
        <w:rPr>
          <w:rFonts w:hint="eastAsia" w:ascii="宋体" w:hAnsi="宋体" w:eastAsia="宋体"/>
          <w:b/>
          <w:sz w:val="24"/>
          <w:szCs w:val="24"/>
        </w:rPr>
        <w:t>十一、</w:t>
      </w:r>
      <w:r>
        <w:rPr>
          <w:rFonts w:ascii="宋体" w:hAnsi="宋体" w:eastAsia="宋体"/>
          <w:b/>
          <w:sz w:val="24"/>
          <w:szCs w:val="24"/>
        </w:rPr>
        <w:t>其他应予说明的事项</w:t>
      </w:r>
    </w:p>
    <w:p w14:paraId="2C451416">
      <w:pPr>
        <w:pStyle w:val="8"/>
        <w:spacing w:line="348" w:lineRule="auto"/>
        <w:ind w:firstLine="443" w:firstLineChars="0"/>
        <w:rPr>
          <w:rFonts w:ascii="宋体" w:hAnsi="宋体" w:eastAsia="宋体"/>
          <w:sz w:val="24"/>
          <w:szCs w:val="24"/>
        </w:rPr>
      </w:pPr>
      <w:r>
        <w:rPr>
          <w:rFonts w:hint="eastAsia" w:ascii="宋体" w:hAnsi="宋体" w:eastAsia="宋体"/>
          <w:sz w:val="24"/>
          <w:szCs w:val="24"/>
        </w:rPr>
        <w:t xml:space="preserve"> 2</w:t>
      </w:r>
      <w:r>
        <w:rPr>
          <w:rFonts w:ascii="宋体" w:hAnsi="宋体" w:eastAsia="宋体"/>
          <w:sz w:val="24"/>
          <w:szCs w:val="24"/>
        </w:rPr>
        <w:t>025</w:t>
      </w:r>
      <w:r>
        <w:rPr>
          <w:rFonts w:hint="eastAsia" w:ascii="宋体" w:hAnsi="宋体" w:eastAsia="宋体"/>
          <w:sz w:val="24"/>
          <w:szCs w:val="24"/>
        </w:rPr>
        <w:t>年9月2</w:t>
      </w:r>
      <w:r>
        <w:rPr>
          <w:rFonts w:ascii="宋体" w:hAnsi="宋体" w:eastAsia="宋体"/>
          <w:sz w:val="24"/>
          <w:szCs w:val="24"/>
        </w:rPr>
        <w:t>2</w:t>
      </w:r>
      <w:r>
        <w:rPr>
          <w:rFonts w:hint="eastAsia" w:ascii="宋体" w:hAnsi="宋体" w:eastAsia="宋体"/>
          <w:sz w:val="24"/>
          <w:szCs w:val="24"/>
        </w:rPr>
        <w:t>日在北京召开标准编制工作第一次会议，将标准名称修改为《高处作业吊篮主要部件报废技术规范》，并删除了使用年限、全面检修等定义及提升机报废年限规定，删除了吊篮整机报废技术条件和判废程序。</w:t>
      </w:r>
    </w:p>
    <w:p w14:paraId="71206170">
      <w:pPr>
        <w:pStyle w:val="8"/>
        <w:spacing w:line="348" w:lineRule="auto"/>
        <w:ind w:firstLine="566" w:firstLineChars="236"/>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026</w:t>
      </w:r>
      <w:r>
        <w:rPr>
          <w:rFonts w:hint="eastAsia" w:ascii="宋体" w:hAnsi="宋体" w:eastAsia="宋体"/>
          <w:sz w:val="24"/>
          <w:szCs w:val="24"/>
        </w:rPr>
        <w:t>年4月</w:t>
      </w:r>
      <w:r>
        <w:rPr>
          <w:rFonts w:ascii="宋体" w:hAnsi="宋体" w:eastAsia="宋体"/>
          <w:sz w:val="24"/>
          <w:szCs w:val="24"/>
        </w:rPr>
        <w:t>9</w:t>
      </w:r>
      <w:r>
        <w:rPr>
          <w:rFonts w:hint="eastAsia" w:ascii="宋体" w:hAnsi="宋体" w:eastAsia="宋体"/>
          <w:sz w:val="24"/>
          <w:szCs w:val="24"/>
        </w:rPr>
        <w:t>日至1</w:t>
      </w:r>
      <w:r>
        <w:rPr>
          <w:rFonts w:ascii="宋体" w:hAnsi="宋体" w:eastAsia="宋体"/>
          <w:sz w:val="24"/>
          <w:szCs w:val="24"/>
        </w:rPr>
        <w:t xml:space="preserve">0 </w:t>
      </w:r>
      <w:r>
        <w:rPr>
          <w:rFonts w:hint="eastAsia" w:ascii="宋体" w:hAnsi="宋体" w:eastAsia="宋体"/>
          <w:sz w:val="24"/>
          <w:szCs w:val="24"/>
        </w:rPr>
        <w:t>日在无锡召开标准编制工作第二次会议，将标准名称修改为《高处作业吊篮主要零部件报废条件》，并修改引言内容、删除电气控制系统电气元件的报废条件、修改钢丝绳及固定装置的报废条件、将结构件中悬挂装置与悬吊平台的部分要求分开编写、删除术语与定义的内容及报废报告的要求。</w:t>
      </w:r>
    </w:p>
    <w:p w14:paraId="334F907A">
      <w:pPr>
        <w:pStyle w:val="8"/>
        <w:spacing w:line="348" w:lineRule="auto"/>
        <w:ind w:firstLine="0" w:firstLineChars="0"/>
        <w:rPr>
          <w:rFonts w:ascii="宋体" w:hAnsi="宋体" w:eastAsia="宋体"/>
          <w:sz w:val="24"/>
          <w:szCs w:val="24"/>
        </w:rPr>
      </w:pPr>
    </w:p>
    <w:p w14:paraId="730AE223">
      <w:pPr>
        <w:spacing w:line="348" w:lineRule="auto"/>
        <w:jc w:val="right"/>
        <w:rPr>
          <w:rFonts w:ascii="宋体" w:hAnsi="宋体" w:eastAsia="宋体"/>
          <w:sz w:val="24"/>
          <w:szCs w:val="24"/>
        </w:rPr>
      </w:pPr>
      <w:bookmarkStart w:id="17" w:name="_GoBack"/>
      <w:bookmarkEnd w:id="17"/>
    </w:p>
    <w:p w14:paraId="11522BE4">
      <w:pPr>
        <w:spacing w:line="348" w:lineRule="auto"/>
        <w:jc w:val="right"/>
        <w:rPr>
          <w:rFonts w:ascii="宋体" w:hAnsi="宋体" w:eastAsia="宋体"/>
          <w:sz w:val="24"/>
          <w:szCs w:val="24"/>
        </w:rPr>
      </w:pPr>
      <w:r>
        <w:rPr>
          <w:rFonts w:hint="eastAsia" w:ascii="宋体" w:hAnsi="宋体" w:eastAsia="宋体"/>
          <w:sz w:val="24"/>
          <w:szCs w:val="24"/>
        </w:rPr>
        <w:t>《高处作业吊篮主要零部件报废条件》编制工作组</w:t>
      </w:r>
    </w:p>
    <w:p w14:paraId="3A3708DC">
      <w:pPr>
        <w:spacing w:line="348" w:lineRule="auto"/>
        <w:jc w:val="center"/>
        <w:rPr>
          <w:rFonts w:ascii="宋体" w:hAnsi="宋体" w:eastAsia="宋体"/>
          <w:sz w:val="24"/>
          <w:szCs w:val="24"/>
        </w:rPr>
      </w:pPr>
      <w:r>
        <w:rPr>
          <w:rFonts w:ascii="宋体" w:hAnsi="宋体" w:eastAsia="宋体"/>
          <w:sz w:val="24"/>
          <w:szCs w:val="24"/>
        </w:rPr>
        <w:t xml:space="preserve">                                  2026</w:t>
      </w:r>
      <w:r>
        <w:rPr>
          <w:rFonts w:hint="eastAsia" w:ascii="宋体" w:hAnsi="宋体" w:eastAsia="宋体"/>
          <w:sz w:val="24"/>
          <w:szCs w:val="24"/>
        </w:rPr>
        <w:t>年</w:t>
      </w:r>
      <w:r>
        <w:rPr>
          <w:rFonts w:ascii="宋体" w:hAnsi="宋体" w:eastAsia="宋体"/>
          <w:sz w:val="24"/>
          <w:szCs w:val="24"/>
        </w:rPr>
        <w:t>5</w:t>
      </w:r>
      <w:r>
        <w:rPr>
          <w:rFonts w:hint="eastAsia" w:ascii="宋体" w:hAnsi="宋体" w:eastAsia="宋体"/>
          <w:sz w:val="24"/>
          <w:szCs w:val="24"/>
        </w:rPr>
        <w:t>月</w:t>
      </w:r>
    </w:p>
    <w:sectPr>
      <w:footerReference r:id="rId3" w:type="default"/>
      <w:pgSz w:w="11906" w:h="16838"/>
      <w:pgMar w:top="1417" w:right="1417" w:bottom="1417" w:left="1417"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0019829"/>
    </w:sdtPr>
    <w:sdtContent>
      <w:p w14:paraId="5343061B">
        <w:pPr>
          <w:pStyle w:val="2"/>
          <w:jc w:val="right"/>
        </w:pPr>
        <w:r>
          <w:fldChar w:fldCharType="begin"/>
        </w:r>
        <w:r>
          <w:instrText xml:space="preserve">PAGE   \* MERGEFORMAT</w:instrText>
        </w:r>
        <w:r>
          <w:fldChar w:fldCharType="separate"/>
        </w:r>
        <w:r>
          <w:rPr>
            <w:lang w:val="zh-CN"/>
          </w:rPr>
          <w:t>4</w:t>
        </w:r>
        <w:r>
          <w:fldChar w:fldCharType="end"/>
        </w:r>
      </w:p>
    </w:sdtContent>
  </w:sdt>
  <w:p w14:paraId="67B20A82">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E77D9A"/>
    <w:multiLevelType w:val="multilevel"/>
    <w:tmpl w:val="1CE77D9A"/>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21B7295D"/>
    <w:multiLevelType w:val="multilevel"/>
    <w:tmpl w:val="21B7295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A77553"/>
    <w:multiLevelType w:val="multilevel"/>
    <w:tmpl w:val="69A7755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3OWE2NWVmNjYxNTUwMjgzNmQxYmFlOTNlODdhOTAifQ=="/>
  </w:docVars>
  <w:rsids>
    <w:rsidRoot w:val="00121287"/>
    <w:rsid w:val="0002306A"/>
    <w:rsid w:val="00025367"/>
    <w:rsid w:val="0004735D"/>
    <w:rsid w:val="0007451D"/>
    <w:rsid w:val="000B47B1"/>
    <w:rsid w:val="000B4ACF"/>
    <w:rsid w:val="000B67C0"/>
    <w:rsid w:val="000E68B5"/>
    <w:rsid w:val="0010339A"/>
    <w:rsid w:val="00112231"/>
    <w:rsid w:val="00121287"/>
    <w:rsid w:val="00122FF5"/>
    <w:rsid w:val="00123FDB"/>
    <w:rsid w:val="00136FC2"/>
    <w:rsid w:val="00145E5B"/>
    <w:rsid w:val="00154BCD"/>
    <w:rsid w:val="00165093"/>
    <w:rsid w:val="0018687A"/>
    <w:rsid w:val="001D5E8D"/>
    <w:rsid w:val="001D7355"/>
    <w:rsid w:val="001E0D54"/>
    <w:rsid w:val="001F2DD4"/>
    <w:rsid w:val="0021535A"/>
    <w:rsid w:val="00216F25"/>
    <w:rsid w:val="00224B58"/>
    <w:rsid w:val="0022559A"/>
    <w:rsid w:val="00234A75"/>
    <w:rsid w:val="00237B29"/>
    <w:rsid w:val="00241F5D"/>
    <w:rsid w:val="00243234"/>
    <w:rsid w:val="00261AB1"/>
    <w:rsid w:val="0029468E"/>
    <w:rsid w:val="002B0864"/>
    <w:rsid w:val="002D57DC"/>
    <w:rsid w:val="002D6B72"/>
    <w:rsid w:val="002E7302"/>
    <w:rsid w:val="0030188D"/>
    <w:rsid w:val="00312895"/>
    <w:rsid w:val="003240C9"/>
    <w:rsid w:val="00366813"/>
    <w:rsid w:val="003775A8"/>
    <w:rsid w:val="003806D5"/>
    <w:rsid w:val="003832E2"/>
    <w:rsid w:val="0038689A"/>
    <w:rsid w:val="00395031"/>
    <w:rsid w:val="0039511A"/>
    <w:rsid w:val="003A7CB2"/>
    <w:rsid w:val="003C03D8"/>
    <w:rsid w:val="003C6F58"/>
    <w:rsid w:val="003D0273"/>
    <w:rsid w:val="00457485"/>
    <w:rsid w:val="00457B55"/>
    <w:rsid w:val="00472AE6"/>
    <w:rsid w:val="004C7A16"/>
    <w:rsid w:val="00541294"/>
    <w:rsid w:val="00541FB4"/>
    <w:rsid w:val="00573E2D"/>
    <w:rsid w:val="00585E75"/>
    <w:rsid w:val="005B5489"/>
    <w:rsid w:val="005E267E"/>
    <w:rsid w:val="005E4271"/>
    <w:rsid w:val="005F7B75"/>
    <w:rsid w:val="00600B4B"/>
    <w:rsid w:val="00604D92"/>
    <w:rsid w:val="00606E30"/>
    <w:rsid w:val="00642532"/>
    <w:rsid w:val="00654613"/>
    <w:rsid w:val="00666D6E"/>
    <w:rsid w:val="00680AC8"/>
    <w:rsid w:val="0068427B"/>
    <w:rsid w:val="006960B9"/>
    <w:rsid w:val="006A1557"/>
    <w:rsid w:val="006A6104"/>
    <w:rsid w:val="006B07A5"/>
    <w:rsid w:val="006D5E40"/>
    <w:rsid w:val="006E21F0"/>
    <w:rsid w:val="00703B9B"/>
    <w:rsid w:val="00743AA8"/>
    <w:rsid w:val="00745955"/>
    <w:rsid w:val="00751CA8"/>
    <w:rsid w:val="00763B91"/>
    <w:rsid w:val="00764B06"/>
    <w:rsid w:val="00771190"/>
    <w:rsid w:val="00775606"/>
    <w:rsid w:val="007A08DC"/>
    <w:rsid w:val="007C7A0A"/>
    <w:rsid w:val="00801860"/>
    <w:rsid w:val="008023FA"/>
    <w:rsid w:val="00814B1B"/>
    <w:rsid w:val="00823CDE"/>
    <w:rsid w:val="008329E8"/>
    <w:rsid w:val="0084151A"/>
    <w:rsid w:val="0084223D"/>
    <w:rsid w:val="00846F27"/>
    <w:rsid w:val="008534BB"/>
    <w:rsid w:val="00864171"/>
    <w:rsid w:val="00876D01"/>
    <w:rsid w:val="0088231A"/>
    <w:rsid w:val="008A71D6"/>
    <w:rsid w:val="008C7D81"/>
    <w:rsid w:val="008D5A48"/>
    <w:rsid w:val="008D6E26"/>
    <w:rsid w:val="00901D62"/>
    <w:rsid w:val="00903190"/>
    <w:rsid w:val="009057E3"/>
    <w:rsid w:val="00933FEA"/>
    <w:rsid w:val="009362C6"/>
    <w:rsid w:val="00946E7D"/>
    <w:rsid w:val="00950108"/>
    <w:rsid w:val="00955D77"/>
    <w:rsid w:val="00957024"/>
    <w:rsid w:val="00964A0F"/>
    <w:rsid w:val="00972A56"/>
    <w:rsid w:val="00993CFF"/>
    <w:rsid w:val="009A067B"/>
    <w:rsid w:val="009A0C55"/>
    <w:rsid w:val="009C47C5"/>
    <w:rsid w:val="009D26BD"/>
    <w:rsid w:val="009E02FF"/>
    <w:rsid w:val="009E6294"/>
    <w:rsid w:val="009F6CE7"/>
    <w:rsid w:val="00A41AD3"/>
    <w:rsid w:val="00A66660"/>
    <w:rsid w:val="00A834D4"/>
    <w:rsid w:val="00A87C55"/>
    <w:rsid w:val="00A954FF"/>
    <w:rsid w:val="00AB7A4E"/>
    <w:rsid w:val="00AF257B"/>
    <w:rsid w:val="00AF5E9C"/>
    <w:rsid w:val="00B17061"/>
    <w:rsid w:val="00B36144"/>
    <w:rsid w:val="00B3784C"/>
    <w:rsid w:val="00B53CE1"/>
    <w:rsid w:val="00B63D8F"/>
    <w:rsid w:val="00B804BB"/>
    <w:rsid w:val="00B966F0"/>
    <w:rsid w:val="00BA0E47"/>
    <w:rsid w:val="00BA6155"/>
    <w:rsid w:val="00C16A7F"/>
    <w:rsid w:val="00C35E85"/>
    <w:rsid w:val="00C741F5"/>
    <w:rsid w:val="00CA6471"/>
    <w:rsid w:val="00CA6A71"/>
    <w:rsid w:val="00CD1D18"/>
    <w:rsid w:val="00CD57A0"/>
    <w:rsid w:val="00CF6599"/>
    <w:rsid w:val="00D1684A"/>
    <w:rsid w:val="00D340DF"/>
    <w:rsid w:val="00D369EA"/>
    <w:rsid w:val="00D4011D"/>
    <w:rsid w:val="00D526DC"/>
    <w:rsid w:val="00D73950"/>
    <w:rsid w:val="00D871EE"/>
    <w:rsid w:val="00DB071B"/>
    <w:rsid w:val="00DB189F"/>
    <w:rsid w:val="00DC1BA8"/>
    <w:rsid w:val="00DC2EC1"/>
    <w:rsid w:val="00DE2C87"/>
    <w:rsid w:val="00DE5956"/>
    <w:rsid w:val="00E11C17"/>
    <w:rsid w:val="00E13C82"/>
    <w:rsid w:val="00E2464C"/>
    <w:rsid w:val="00E30C4A"/>
    <w:rsid w:val="00E318F7"/>
    <w:rsid w:val="00E35A30"/>
    <w:rsid w:val="00E35ADE"/>
    <w:rsid w:val="00E4075F"/>
    <w:rsid w:val="00E517D5"/>
    <w:rsid w:val="00E577CF"/>
    <w:rsid w:val="00E8252F"/>
    <w:rsid w:val="00E96CF1"/>
    <w:rsid w:val="00EA70E5"/>
    <w:rsid w:val="00EC4379"/>
    <w:rsid w:val="00EF3A3A"/>
    <w:rsid w:val="00F15B34"/>
    <w:rsid w:val="00F30329"/>
    <w:rsid w:val="00F44B24"/>
    <w:rsid w:val="00F566AA"/>
    <w:rsid w:val="00F57936"/>
    <w:rsid w:val="00F642A1"/>
    <w:rsid w:val="00F74E56"/>
    <w:rsid w:val="00F86BCE"/>
    <w:rsid w:val="00F93246"/>
    <w:rsid w:val="00FA3616"/>
    <w:rsid w:val="00FB1A23"/>
    <w:rsid w:val="00FD40B0"/>
    <w:rsid w:val="10B9501D"/>
    <w:rsid w:val="143C11FC"/>
    <w:rsid w:val="18225A6D"/>
    <w:rsid w:val="1BEA2828"/>
    <w:rsid w:val="1C1244ED"/>
    <w:rsid w:val="1F1F10F9"/>
    <w:rsid w:val="32D57EA5"/>
    <w:rsid w:val="3C3C1B84"/>
    <w:rsid w:val="42B935EE"/>
    <w:rsid w:val="494D322E"/>
    <w:rsid w:val="51A159D0"/>
    <w:rsid w:val="5B5E287E"/>
    <w:rsid w:val="5F923554"/>
    <w:rsid w:val="665A73CA"/>
    <w:rsid w:val="709613D5"/>
    <w:rsid w:val="74654825"/>
    <w:rsid w:val="7B1A1FA6"/>
    <w:rsid w:val="7C5C4897"/>
    <w:rsid w:val="7ECF1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7"/>
    <w:qFormat/>
    <w:uiPriority w:val="0"/>
    <w:pPr>
      <w:spacing w:before="120" w:after="120" w:line="360" w:lineRule="auto"/>
      <w:jc w:val="left"/>
      <w:outlineLvl w:val="0"/>
    </w:pPr>
    <w:rPr>
      <w:rFonts w:ascii="Cambria" w:hAnsi="Cambria" w:eastAsia="黑体" w:cs="Times New Roman"/>
      <w:bCs/>
      <w:szCs w:val="32"/>
    </w:rPr>
  </w:style>
  <w:style w:type="character" w:customStyle="1" w:styleId="7">
    <w:name w:val="标题 字符"/>
    <w:basedOn w:val="6"/>
    <w:link w:val="4"/>
    <w:qFormat/>
    <w:uiPriority w:val="0"/>
    <w:rPr>
      <w:rFonts w:ascii="Cambria" w:hAnsi="Cambria" w:eastAsia="黑体" w:cs="Times New Roman"/>
      <w:bCs/>
      <w:szCs w:val="32"/>
    </w:rPr>
  </w:style>
  <w:style w:type="paragraph" w:styleId="8">
    <w:name w:val="List Paragraph"/>
    <w:basedOn w:val="1"/>
    <w:qFormat/>
    <w:uiPriority w:val="34"/>
    <w:pPr>
      <w:ind w:firstLine="420" w:firstLineChars="200"/>
    </w:p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3691</Words>
  <Characters>4000</Characters>
  <Lines>29</Lines>
  <Paragraphs>8</Paragraphs>
  <TotalTime>33</TotalTime>
  <ScaleCrop>false</ScaleCrop>
  <LinksUpToDate>false</LinksUpToDate>
  <CharactersWithSpaces>4094</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2026-05-05T08:14:00Z</dcterms:created>
  <dc:creator>123</dc:creator>
  <cp:lastModifiedBy>蒋燕</cp:lastModifiedBy>
  <dcterms:modified xsi:type="dcterms:W3CDTF">2026-05-07T02:51:11Z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C0059FD848F34A7382CA256045639A1D_13</vt:lpwstr>
  </property>
  <property fmtid="{D5CDD505-2E9C-101B-9397-08002B2CF9AE}" pid="4" name="KSOTemplateDocerSaveRecord">
    <vt:lpwstr>eyJoZGlkIjoiMThkY2U3MTFjYzA4YTM2ZTRlYjc3ZDQ3ZGU3ZjM3NWIiLCJ1c2VySWQiOiI0MDQyMDAyOTcifQ==</vt:lpwstr>
  </property>
</Properties>
</file>